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A8943">
      <w:pPr>
        <w:widowControl/>
        <w:spacing w:line="300" w:lineRule="auto"/>
        <w:jc w:val="center"/>
        <w:rPr>
          <w:rFonts w:hint="eastAsia" w:ascii="Times New Roman" w:hAnsi="Times New Roman" w:eastAsia="黑体" w:cs="宋体"/>
          <w:b/>
          <w:bCs/>
          <w:color w:val="000000"/>
          <w:w w:val="90"/>
          <w:kern w:val="0"/>
          <w:sz w:val="44"/>
          <w:szCs w:val="44"/>
          <w:highlight w:val="none"/>
          <w:lang w:val="en-US" w:eastAsia="zh-CN"/>
        </w:rPr>
      </w:pPr>
    </w:p>
    <w:p w14:paraId="4407FA12">
      <w:pPr>
        <w:widowControl/>
        <w:spacing w:line="300" w:lineRule="auto"/>
        <w:jc w:val="center"/>
        <w:rPr>
          <w:rFonts w:hint="eastAsia" w:ascii="Times New Roman" w:hAnsi="Times New Roman" w:eastAsia="黑体" w:cs="宋体"/>
          <w:b/>
          <w:bCs/>
          <w:color w:val="000000"/>
          <w:w w:val="90"/>
          <w:kern w:val="0"/>
          <w:sz w:val="44"/>
          <w:szCs w:val="44"/>
          <w:highlight w:val="none"/>
          <w:lang w:val="en-US" w:eastAsia="zh-CN"/>
        </w:rPr>
      </w:pPr>
    </w:p>
    <w:p w14:paraId="290C8DBD">
      <w:pPr>
        <w:widowControl/>
        <w:spacing w:line="300" w:lineRule="auto"/>
        <w:jc w:val="center"/>
        <w:rPr>
          <w:rFonts w:hint="eastAsia" w:ascii="Times New Roman" w:hAnsi="Times New Roman" w:eastAsia="黑体" w:cs="宋体"/>
          <w:b/>
          <w:bCs/>
          <w:color w:val="000000"/>
          <w:w w:val="90"/>
          <w:kern w:val="0"/>
          <w:sz w:val="44"/>
          <w:szCs w:val="44"/>
          <w:highlight w:val="none"/>
          <w:lang w:val="en-US" w:eastAsia="zh-CN"/>
        </w:rPr>
      </w:pPr>
      <w:r>
        <w:rPr>
          <w:rFonts w:hint="eastAsia" w:ascii="Times New Roman" w:hAnsi="Times New Roman" w:eastAsia="黑体" w:cs="宋体"/>
          <w:b/>
          <w:bCs/>
          <w:color w:val="000000"/>
          <w:w w:val="90"/>
          <w:kern w:val="0"/>
          <w:sz w:val="44"/>
          <w:szCs w:val="44"/>
          <w:highlight w:val="none"/>
          <w:lang w:val="en-US" w:eastAsia="zh-CN"/>
        </w:rPr>
        <w:t>矿山连接道路破损维修工程采购</w:t>
      </w:r>
    </w:p>
    <w:p w14:paraId="61A6485A">
      <w:pPr>
        <w:widowControl/>
        <w:tabs>
          <w:tab w:val="left" w:leader="underscore" w:pos="4030"/>
        </w:tabs>
        <w:spacing w:after="354" w:line="600" w:lineRule="exact"/>
        <w:jc w:val="center"/>
        <w:rPr>
          <w:rFonts w:hint="eastAsia" w:ascii="宋体" w:hAnsi="宋体" w:eastAsia="宋体" w:cs="MingLiU"/>
          <w:color w:val="000000"/>
          <w:kern w:val="0"/>
          <w:sz w:val="32"/>
          <w:szCs w:val="32"/>
          <w:lang w:val="zh-TW" w:bidi="zh-TW"/>
        </w:rPr>
      </w:pPr>
    </w:p>
    <w:p w14:paraId="4332837B">
      <w:pPr>
        <w:widowControl/>
        <w:spacing w:line="300" w:lineRule="auto"/>
        <w:ind w:firstLine="2560" w:firstLineChars="800"/>
        <w:jc w:val="both"/>
        <w:rPr>
          <w:rFonts w:hint="eastAsia" w:ascii="Times New Roman" w:hAnsi="Times New Roman" w:eastAsia="黑体" w:cs="宋体"/>
          <w:b/>
          <w:color w:val="auto"/>
          <w:kern w:val="0"/>
          <w:sz w:val="32"/>
          <w:szCs w:val="32"/>
          <w:highlight w:val="none"/>
          <w:lang w:val="zh-TW"/>
        </w:rPr>
      </w:pPr>
      <w:r>
        <w:rPr>
          <w:rFonts w:hint="eastAsia" w:ascii="Times New Roman" w:hAnsi="Times New Roman" w:eastAsia="黑体" w:cs="宋体"/>
          <w:b/>
          <w:color w:val="auto"/>
          <w:kern w:val="0"/>
          <w:sz w:val="32"/>
          <w:szCs w:val="32"/>
          <w:highlight w:val="none"/>
          <w:lang w:val="zh-TW"/>
        </w:rPr>
        <w:t>(招标编号：1171260121001</w:t>
      </w:r>
      <w:r>
        <w:rPr>
          <w:rFonts w:hint="eastAsia" w:ascii="Times New Roman" w:hAnsi="Times New Roman" w:eastAsia="黑体" w:cs="宋体"/>
          <w:b/>
          <w:color w:val="auto"/>
          <w:kern w:val="0"/>
          <w:sz w:val="32"/>
          <w:szCs w:val="32"/>
          <w:highlight w:val="none"/>
          <w:lang w:val="zh-TW"/>
        </w:rPr>
        <w:t>)</w:t>
      </w:r>
    </w:p>
    <w:p w14:paraId="03EAD6E9">
      <w:pPr>
        <w:pStyle w:val="46"/>
        <w:ind w:firstLine="643"/>
        <w:jc w:val="center"/>
        <w:rPr>
          <w:rFonts w:eastAsia="黑体" w:cs="宋体"/>
          <w:b/>
          <w:color w:val="000000"/>
          <w:sz w:val="32"/>
          <w:szCs w:val="32"/>
          <w:lang w:val="zh-TW"/>
        </w:rPr>
      </w:pPr>
    </w:p>
    <w:p w14:paraId="63435839">
      <w:pPr>
        <w:pStyle w:val="46"/>
        <w:ind w:firstLine="964"/>
        <w:jc w:val="center"/>
        <w:rPr>
          <w:rFonts w:eastAsia="黑体" w:cs="宋体"/>
          <w:b/>
          <w:color w:val="000000"/>
          <w:sz w:val="48"/>
          <w:szCs w:val="48"/>
          <w:lang w:val="zh-TW"/>
        </w:rPr>
      </w:pPr>
    </w:p>
    <w:p w14:paraId="299C69A9">
      <w:pPr>
        <w:keepNext w:val="0"/>
        <w:keepLines w:val="0"/>
        <w:pageBreakBefore w:val="0"/>
        <w:widowControl/>
        <w:kinsoku/>
        <w:wordWrap/>
        <w:overflowPunct/>
        <w:topLinePunct w:val="0"/>
        <w:autoSpaceDE/>
        <w:autoSpaceDN/>
        <w:bidi w:val="0"/>
        <w:adjustRightInd/>
        <w:snapToGrid/>
        <w:spacing w:after="4320" w:line="240" w:lineRule="auto"/>
        <w:ind w:left="62"/>
        <w:jc w:val="center"/>
        <w:textAlignment w:val="auto"/>
        <w:rPr>
          <w:rFonts w:hint="eastAsia" w:ascii="宋体" w:hAnsi="宋体" w:eastAsia="PMingLiU" w:cs="MingLiU"/>
          <w:i/>
          <w:iCs/>
          <w:color w:val="000000"/>
          <w:spacing w:val="-10"/>
          <w:kern w:val="0"/>
          <w:sz w:val="48"/>
          <w:szCs w:val="48"/>
          <w:lang w:val="zh-TW" w:bidi="zh-TW"/>
        </w:rPr>
      </w:pPr>
      <w:r>
        <w:rPr>
          <w:rFonts w:hint="eastAsia" w:ascii="Times New Roman" w:hAnsi="Times New Roman" w:eastAsia="黑体" w:cs="宋体"/>
          <w:b/>
          <w:bCs/>
          <w:color w:val="000000"/>
          <w:w w:val="90"/>
          <w:kern w:val="0"/>
          <w:sz w:val="48"/>
          <w:szCs w:val="48"/>
          <w:lang w:val="zh-TW"/>
        </w:rPr>
        <w:t>招</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标</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文</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件</w:t>
      </w:r>
    </w:p>
    <w:p w14:paraId="708E41E6">
      <w:pPr>
        <w:widowControl/>
        <w:spacing w:line="300" w:lineRule="auto"/>
        <w:jc w:val="center"/>
        <w:rPr>
          <w:rFonts w:ascii="Times New Roman" w:hAnsi="Times New Roman" w:eastAsia="黑体" w:cs="宋体"/>
          <w:b/>
          <w:color w:val="000000"/>
          <w:kern w:val="0"/>
          <w:sz w:val="32"/>
          <w:szCs w:val="32"/>
          <w:lang w:val="zh-TW"/>
        </w:rPr>
      </w:pPr>
      <w:r>
        <w:rPr>
          <w:rFonts w:hint="eastAsia" w:ascii="Times New Roman" w:hAnsi="Times New Roman" w:eastAsia="黑体" w:cs="宋体"/>
          <w:b/>
          <w:color w:val="000000"/>
          <w:kern w:val="0"/>
          <w:sz w:val="32"/>
          <w:szCs w:val="32"/>
          <w:lang w:val="zh-TW"/>
        </w:rPr>
        <w:t>招标人：济南黄河爆破工程有限责任公司</w:t>
      </w:r>
    </w:p>
    <w:p w14:paraId="1C82F5AA">
      <w:pPr>
        <w:widowControl/>
        <w:spacing w:line="300" w:lineRule="auto"/>
        <w:jc w:val="center"/>
        <w:rPr>
          <w:rFonts w:ascii="Times New Roman" w:hAnsi="Times New Roman" w:eastAsia="黑体" w:cs="宋体"/>
          <w:b/>
          <w:color w:val="000000"/>
          <w:kern w:val="0"/>
          <w:sz w:val="32"/>
          <w:szCs w:val="32"/>
          <w:lang w:val="zh-TW" w:eastAsia="zh-TW"/>
        </w:rPr>
      </w:pPr>
      <w:r>
        <w:rPr>
          <w:rFonts w:hint="eastAsia" w:ascii="Times New Roman" w:hAnsi="Times New Roman" w:eastAsia="黑体" w:cs="宋体"/>
          <w:b/>
          <w:color w:val="000000"/>
          <w:kern w:val="0"/>
          <w:sz w:val="32"/>
          <w:szCs w:val="32"/>
          <w:lang w:val="zh-TW" w:eastAsia="zh-TW"/>
        </w:rPr>
        <w:t>日</w:t>
      </w:r>
      <w:r>
        <w:rPr>
          <w:rFonts w:hint="eastAsia" w:ascii="Times New Roman" w:hAnsi="Times New Roman" w:eastAsia="黑体" w:cs="宋体"/>
          <w:b/>
          <w:color w:val="000000"/>
          <w:kern w:val="0"/>
          <w:sz w:val="32"/>
          <w:szCs w:val="32"/>
          <w:lang w:eastAsia="zh-TW"/>
        </w:rPr>
        <w:t xml:space="preserve">  </w:t>
      </w:r>
      <w:r>
        <w:rPr>
          <w:rFonts w:hint="eastAsia" w:ascii="Times New Roman" w:hAnsi="Times New Roman" w:eastAsia="黑体" w:cs="宋体"/>
          <w:b/>
          <w:color w:val="000000"/>
          <w:kern w:val="0"/>
          <w:sz w:val="32"/>
          <w:szCs w:val="32"/>
          <w:lang w:val="zh-TW" w:eastAsia="zh-TW"/>
        </w:rPr>
        <w:t>期：二〇二</w:t>
      </w:r>
      <w:r>
        <w:rPr>
          <w:rFonts w:hint="eastAsia" w:ascii="Times New Roman" w:hAnsi="Times New Roman" w:eastAsia="黑体" w:cs="宋体"/>
          <w:b/>
          <w:color w:val="000000"/>
          <w:kern w:val="0"/>
          <w:sz w:val="32"/>
          <w:szCs w:val="32"/>
        </w:rPr>
        <w:t>六</w:t>
      </w:r>
      <w:r>
        <w:rPr>
          <w:rFonts w:hint="eastAsia" w:ascii="Times New Roman" w:hAnsi="Times New Roman" w:eastAsia="黑体" w:cs="宋体"/>
          <w:b/>
          <w:color w:val="000000"/>
          <w:kern w:val="0"/>
          <w:sz w:val="32"/>
          <w:szCs w:val="32"/>
          <w:lang w:val="zh-TW" w:eastAsia="zh-TW"/>
        </w:rPr>
        <w:t>年</w:t>
      </w:r>
      <w:r>
        <w:rPr>
          <w:rFonts w:hint="eastAsia" w:ascii="Times New Roman" w:hAnsi="Times New Roman" w:eastAsia="黑体" w:cs="宋体"/>
          <w:b/>
          <w:color w:val="000000"/>
          <w:kern w:val="0"/>
          <w:sz w:val="32"/>
          <w:szCs w:val="32"/>
        </w:rPr>
        <w:t>一</w:t>
      </w:r>
      <w:r>
        <w:rPr>
          <w:rFonts w:hint="eastAsia" w:ascii="Times New Roman" w:hAnsi="Times New Roman" w:eastAsia="黑体" w:cs="宋体"/>
          <w:b/>
          <w:color w:val="000000"/>
          <w:kern w:val="0"/>
          <w:sz w:val="32"/>
          <w:szCs w:val="32"/>
          <w:lang w:val="zh-TW" w:eastAsia="zh-TW"/>
        </w:rPr>
        <w:t>月</w:t>
      </w:r>
    </w:p>
    <w:p w14:paraId="67173DD1">
      <w:pPr>
        <w:widowControl/>
        <w:spacing w:after="272" w:line="260" w:lineRule="exact"/>
        <w:jc w:val="center"/>
        <w:rPr>
          <w:rFonts w:hint="eastAsia" w:ascii="MingLiU" w:hAnsi="MingLiU" w:eastAsia="宋体" w:cs="MingLiU"/>
          <w:color w:val="000000"/>
          <w:kern w:val="0"/>
          <w:sz w:val="26"/>
          <w:szCs w:val="26"/>
          <w:lang w:val="zh-TW" w:eastAsia="zh-TW" w:bidi="zh-TW"/>
        </w:rPr>
      </w:pPr>
    </w:p>
    <w:p w14:paraId="01AB6A93">
      <w:pPr>
        <w:ind w:firstLine="400" w:firstLineChars="200"/>
        <w:rPr>
          <w:rFonts w:ascii="Times New Roman" w:hAnsi="Times New Roman" w:eastAsia="宋体"/>
          <w:sz w:val="20"/>
          <w:szCs w:val="20"/>
          <w:lang w:eastAsia="zh-TW"/>
        </w:rPr>
      </w:pPr>
    </w:p>
    <w:p w14:paraId="28242F3E">
      <w:pPr>
        <w:ind w:firstLine="400" w:firstLineChars="200"/>
        <w:rPr>
          <w:rFonts w:ascii="Times New Roman" w:hAnsi="Times New Roman" w:eastAsia="宋体"/>
          <w:sz w:val="20"/>
          <w:szCs w:val="20"/>
          <w:lang w:eastAsia="zh-TW"/>
        </w:rPr>
      </w:pPr>
    </w:p>
    <w:p w14:paraId="0F352CF4">
      <w:pPr>
        <w:pStyle w:val="46"/>
        <w:ind w:firstLine="400"/>
        <w:rPr>
          <w:lang w:eastAsia="zh-TW"/>
        </w:rPr>
      </w:pPr>
    </w:p>
    <w:p w14:paraId="060A4571">
      <w:pPr>
        <w:ind w:firstLine="400" w:firstLineChars="200"/>
        <w:rPr>
          <w:rFonts w:ascii="Times New Roman" w:hAnsi="Times New Roman" w:eastAsia="宋体"/>
          <w:sz w:val="20"/>
          <w:szCs w:val="20"/>
          <w:lang w:eastAsia="zh-TW"/>
        </w:rPr>
      </w:pPr>
    </w:p>
    <w:p w14:paraId="2D92699E">
      <w:pPr>
        <w:pStyle w:val="4"/>
        <w:rPr>
          <w:lang w:eastAsia="zh-TW"/>
        </w:rPr>
        <w:sectPr>
          <w:pgSz w:w="11906" w:h="16838"/>
          <w:pgMar w:top="1304" w:right="1304" w:bottom="1304" w:left="1304" w:header="851" w:footer="992" w:gutter="0"/>
          <w:cols w:space="425" w:num="1"/>
          <w:docGrid w:type="linesAndChars" w:linePitch="312" w:charSpace="0"/>
        </w:sectPr>
      </w:pPr>
    </w:p>
    <w:p w14:paraId="12DAFBCE">
      <w:pPr>
        <w:rPr>
          <w:lang w:eastAsia="zh-TW"/>
        </w:rPr>
      </w:pPr>
    </w:p>
    <w:p w14:paraId="272068AB">
      <w:pPr>
        <w:autoSpaceDE w:val="0"/>
        <w:autoSpaceDN w:val="0"/>
        <w:adjustRightInd w:val="0"/>
        <w:spacing w:line="300" w:lineRule="auto"/>
        <w:jc w:val="center"/>
        <w:rPr>
          <w:rFonts w:ascii="Times New Roman" w:hAnsi="Times New Roman" w:eastAsia="黑体"/>
          <w:color w:val="000000"/>
          <w:sz w:val="46"/>
          <w:szCs w:val="18"/>
          <w:lang w:eastAsia="zh-TW"/>
        </w:rPr>
      </w:pPr>
    </w:p>
    <w:p w14:paraId="215C2A96">
      <w:pPr>
        <w:autoSpaceDE w:val="0"/>
        <w:autoSpaceDN w:val="0"/>
        <w:adjustRightInd w:val="0"/>
        <w:spacing w:line="300" w:lineRule="auto"/>
        <w:jc w:val="center"/>
        <w:rPr>
          <w:rFonts w:ascii="Times New Roman" w:hAnsi="Times New Roman" w:eastAsia="黑体"/>
          <w:color w:val="000000"/>
          <w:sz w:val="46"/>
          <w:szCs w:val="18"/>
        </w:rPr>
      </w:pPr>
      <w:r>
        <w:rPr>
          <w:rFonts w:hint="eastAsia" w:ascii="Times New Roman" w:eastAsia="黑体"/>
          <w:color w:val="000000"/>
          <w:sz w:val="46"/>
          <w:szCs w:val="18"/>
        </w:rPr>
        <w:t>目</w:t>
      </w:r>
      <w:r>
        <w:rPr>
          <w:rFonts w:ascii="Times New Roman" w:hAnsi="Times New Roman" w:eastAsia="黑体"/>
          <w:color w:val="000000"/>
          <w:sz w:val="46"/>
          <w:szCs w:val="18"/>
        </w:rPr>
        <w:t xml:space="preserve">  </w:t>
      </w:r>
      <w:r>
        <w:rPr>
          <w:rFonts w:hint="eastAsia" w:ascii="Times New Roman" w:eastAsia="黑体"/>
          <w:color w:val="000000"/>
          <w:sz w:val="46"/>
          <w:szCs w:val="18"/>
        </w:rPr>
        <w:t>录</w:t>
      </w:r>
    </w:p>
    <w:p w14:paraId="581D3F41">
      <w:pPr>
        <w:pStyle w:val="32"/>
        <w:tabs>
          <w:tab w:val="right" w:leader="dot" w:pos="9298"/>
          <w:tab w:val="clear" w:pos="8870"/>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TOC \o "1-3" \h \z \u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_Toc26317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i w:val="0"/>
          <w:kern w:val="2"/>
          <w:sz w:val="28"/>
          <w:szCs w:val="28"/>
        </w:rPr>
        <w:t>第一章 招标公告</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_Toc26317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14:paraId="0361771E">
      <w:pPr>
        <w:pStyle w:val="32"/>
        <w:tabs>
          <w:tab w:val="right" w:leader="dot" w:pos="9298"/>
          <w:tab w:val="clear" w:pos="8870"/>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color w:val="000000"/>
          <w:sz w:val="28"/>
          <w:szCs w:val="28"/>
        </w:rPr>
        <w:fldChar w:fldCharType="begin"/>
      </w:r>
      <w:r>
        <w:rPr>
          <w:rFonts w:hint="eastAsia" w:ascii="仿宋_GB2312" w:hAnsi="仿宋_GB2312" w:eastAsia="仿宋_GB2312" w:cs="仿宋_GB2312"/>
          <w:b w:val="0"/>
          <w:bCs w:val="0"/>
          <w:sz w:val="28"/>
          <w:szCs w:val="28"/>
        </w:rPr>
        <w:instrText xml:space="preserve"> HYPERLINK \l _Toc22580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i w:val="0"/>
          <w:kern w:val="2"/>
          <w:sz w:val="28"/>
          <w:szCs w:val="28"/>
        </w:rPr>
        <w:t>第二章 投标人须知</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_Toc22580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7</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color w:val="000000"/>
          <w:sz w:val="28"/>
          <w:szCs w:val="28"/>
        </w:rPr>
        <w:fldChar w:fldCharType="end"/>
      </w:r>
    </w:p>
    <w:p w14:paraId="7EC72BBA">
      <w:pPr>
        <w:pStyle w:val="32"/>
        <w:tabs>
          <w:tab w:val="right" w:leader="dot" w:pos="9298"/>
          <w:tab w:val="clear" w:pos="8870"/>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color w:val="000000"/>
          <w:sz w:val="28"/>
          <w:szCs w:val="28"/>
        </w:rPr>
        <w:fldChar w:fldCharType="begin"/>
      </w:r>
      <w:r>
        <w:rPr>
          <w:rFonts w:hint="eastAsia" w:ascii="仿宋_GB2312" w:hAnsi="仿宋_GB2312" w:eastAsia="仿宋_GB2312" w:cs="仿宋_GB2312"/>
          <w:b w:val="0"/>
          <w:bCs w:val="0"/>
          <w:sz w:val="28"/>
          <w:szCs w:val="28"/>
        </w:rPr>
        <w:instrText xml:space="preserve"> HYPERLINK \l _Toc23191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i w:val="0"/>
          <w:kern w:val="2"/>
          <w:sz w:val="28"/>
          <w:szCs w:val="28"/>
        </w:rPr>
        <w:t>第三章 评标办法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_Toc23191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25</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color w:val="000000"/>
          <w:sz w:val="28"/>
          <w:szCs w:val="28"/>
        </w:rPr>
        <w:fldChar w:fldCharType="end"/>
      </w:r>
    </w:p>
    <w:p w14:paraId="6F4F7087">
      <w:pPr>
        <w:pStyle w:val="32"/>
        <w:tabs>
          <w:tab w:val="right" w:leader="dot" w:pos="9298"/>
          <w:tab w:val="clear" w:pos="8870"/>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color w:val="000000"/>
          <w:sz w:val="28"/>
          <w:szCs w:val="28"/>
        </w:rPr>
        <w:fldChar w:fldCharType="begin"/>
      </w:r>
      <w:r>
        <w:rPr>
          <w:rFonts w:hint="eastAsia" w:ascii="仿宋_GB2312" w:hAnsi="仿宋_GB2312" w:eastAsia="仿宋_GB2312" w:cs="仿宋_GB2312"/>
          <w:b w:val="0"/>
          <w:bCs w:val="0"/>
          <w:sz w:val="28"/>
          <w:szCs w:val="28"/>
        </w:rPr>
        <w:instrText xml:space="preserve"> HYPERLINK \l _Toc10187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i w:val="0"/>
          <w:kern w:val="2"/>
          <w:sz w:val="28"/>
          <w:szCs w:val="28"/>
        </w:rPr>
        <w:t>第四章 合同条款及格式</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_Toc10187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29</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color w:val="000000"/>
          <w:sz w:val="28"/>
          <w:szCs w:val="28"/>
        </w:rPr>
        <w:fldChar w:fldCharType="end"/>
      </w:r>
    </w:p>
    <w:p w14:paraId="7674146A">
      <w:pPr>
        <w:pStyle w:val="32"/>
        <w:tabs>
          <w:tab w:val="right" w:leader="dot" w:pos="9298"/>
          <w:tab w:val="clear" w:pos="8870"/>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color w:val="000000"/>
          <w:sz w:val="28"/>
          <w:szCs w:val="28"/>
        </w:rPr>
        <w:fldChar w:fldCharType="begin"/>
      </w:r>
      <w:r>
        <w:rPr>
          <w:rFonts w:hint="eastAsia" w:ascii="仿宋_GB2312" w:hAnsi="仿宋_GB2312" w:eastAsia="仿宋_GB2312" w:cs="仿宋_GB2312"/>
          <w:b w:val="0"/>
          <w:bCs w:val="0"/>
          <w:sz w:val="28"/>
          <w:szCs w:val="28"/>
        </w:rPr>
        <w:instrText xml:space="preserve"> HYPERLINK \l _Toc12545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i w:val="0"/>
          <w:kern w:val="2"/>
          <w:sz w:val="28"/>
          <w:szCs w:val="28"/>
        </w:rPr>
        <w:t>第五章 技术标准和要求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_Toc12545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52</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color w:val="000000"/>
          <w:sz w:val="28"/>
          <w:szCs w:val="28"/>
        </w:rPr>
        <w:fldChar w:fldCharType="end"/>
      </w:r>
    </w:p>
    <w:p w14:paraId="68BD0FA1">
      <w:pPr>
        <w:pStyle w:val="32"/>
        <w:tabs>
          <w:tab w:val="right" w:leader="dot" w:pos="9298"/>
          <w:tab w:val="clear" w:pos="8870"/>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color w:val="000000"/>
          <w:sz w:val="28"/>
          <w:szCs w:val="28"/>
        </w:rPr>
        <w:fldChar w:fldCharType="begin"/>
      </w:r>
      <w:r>
        <w:rPr>
          <w:rFonts w:hint="eastAsia" w:ascii="仿宋_GB2312" w:hAnsi="仿宋_GB2312" w:eastAsia="仿宋_GB2312" w:cs="仿宋_GB2312"/>
          <w:b w:val="0"/>
          <w:bCs w:val="0"/>
          <w:sz w:val="28"/>
          <w:szCs w:val="28"/>
        </w:rPr>
        <w:instrText xml:space="preserve"> HYPERLINK \l _Toc11484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第六章 投标文件格式</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_Toc11484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53</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color w:val="000000"/>
          <w:sz w:val="28"/>
          <w:szCs w:val="28"/>
        </w:rPr>
        <w:fldChar w:fldCharType="end"/>
      </w:r>
    </w:p>
    <w:p w14:paraId="5B117FCB">
      <w:pPr>
        <w:shd w:val="clear" w:color="auto" w:fill="FFFFFF"/>
        <w:tabs>
          <w:tab w:val="right" w:leader="dot" w:pos="8296"/>
        </w:tabs>
        <w:spacing w:before="300" w:line="278" w:lineRule="exact"/>
        <w:jc w:val="distribute"/>
        <w:rPr>
          <w:rFonts w:hint="eastAsia" w:ascii="MingLiU" w:hAnsi="MingLiU" w:cs="MingLiU" w:eastAsiaTheme="minorEastAsia"/>
          <w:color w:val="000000"/>
          <w:kern w:val="0"/>
          <w:sz w:val="20"/>
          <w:szCs w:val="20"/>
          <w:lang w:val="zh-CN" w:bidi="zh-CN"/>
        </w:rPr>
        <w:sectPr>
          <w:footerReference r:id="rId3" w:type="default"/>
          <w:pgSz w:w="11906" w:h="16838"/>
          <w:pgMar w:top="1304" w:right="1304" w:bottom="1304" w:left="1304" w:header="851" w:footer="992" w:gutter="0"/>
          <w:pgNumType w:start="1"/>
          <w:cols w:space="425" w:num="1"/>
          <w:docGrid w:type="linesAndChars" w:linePitch="312" w:charSpace="0"/>
        </w:sectPr>
      </w:pPr>
      <w:r>
        <w:rPr>
          <w:rFonts w:hint="eastAsia" w:ascii="仿宋_GB2312" w:hAnsi="仿宋_GB2312" w:eastAsia="仿宋_GB2312" w:cs="仿宋_GB2312"/>
          <w:b w:val="0"/>
          <w:bCs w:val="0"/>
          <w:color w:val="000000"/>
          <w:sz w:val="28"/>
          <w:szCs w:val="28"/>
        </w:rPr>
        <w:fldChar w:fldCharType="end"/>
      </w:r>
    </w:p>
    <w:p w14:paraId="26263CD6">
      <w:pPr>
        <w:pStyle w:val="179"/>
        <w:keepNext w:val="0"/>
        <w:keepLines w:val="0"/>
        <w:widowControl/>
        <w:spacing w:before="0" w:after="0" w:line="300" w:lineRule="auto"/>
        <w:ind w:firstLine="216"/>
        <w:jc w:val="center"/>
        <w:outlineLvl w:val="0"/>
        <w:rPr>
          <w:rFonts w:ascii="Times New Roman" w:hAnsi="Times New Roman"/>
          <w:b/>
          <w:bCs w:val="0"/>
          <w:i w:val="0"/>
          <w:color w:val="000000"/>
          <w:kern w:val="2"/>
          <w:sz w:val="44"/>
          <w:szCs w:val="44"/>
          <w:highlight w:val="none"/>
        </w:rPr>
      </w:pPr>
      <w:bookmarkStart w:id="0" w:name="_Toc26317"/>
      <w:bookmarkStart w:id="1" w:name="_Toc144974479"/>
      <w:bookmarkStart w:id="2" w:name="_Toc152042287"/>
      <w:bookmarkStart w:id="3" w:name="_Toc152045511"/>
      <w:bookmarkStart w:id="4" w:name="_Toc179632527"/>
      <w:r>
        <w:rPr>
          <w:rFonts w:ascii="Times New Roman" w:hAnsi="Times New Roman"/>
          <w:b/>
          <w:bCs w:val="0"/>
          <w:i w:val="0"/>
          <w:color w:val="000000"/>
          <w:kern w:val="2"/>
          <w:sz w:val="44"/>
          <w:szCs w:val="44"/>
          <w:highlight w:val="none"/>
        </w:rPr>
        <w:t>第一章 招标公告</w:t>
      </w:r>
      <w:bookmarkEnd w:id="0"/>
    </w:p>
    <w:p w14:paraId="4B5A66A3">
      <w:pPr>
        <w:spacing w:line="360" w:lineRule="auto"/>
        <w:jc w:val="left"/>
        <w:rPr>
          <w:rFonts w:ascii="宋体" w:hAnsi="宋体" w:eastAsia="宋体"/>
          <w:b/>
          <w:bCs/>
          <w:color w:val="000000"/>
          <w:sz w:val="24"/>
          <w:highlight w:val="none"/>
        </w:rPr>
      </w:pPr>
      <w:r>
        <w:rPr>
          <w:rFonts w:ascii="宋体" w:hAnsi="宋体" w:eastAsia="宋体"/>
          <w:b/>
          <w:bCs/>
          <w:color w:val="000000"/>
          <w:sz w:val="24"/>
          <w:highlight w:val="none"/>
        </w:rPr>
        <w:t>一、招标编号：</w:t>
      </w:r>
      <w:r>
        <w:rPr>
          <w:rFonts w:hint="eastAsia" w:ascii="宋体" w:hAnsi="宋体" w:eastAsia="宋体"/>
          <w:b/>
          <w:bCs/>
          <w:color w:val="000000"/>
          <w:sz w:val="24"/>
          <w:highlight w:val="none"/>
        </w:rPr>
        <w:t>1171260121001</w:t>
      </w:r>
    </w:p>
    <w:p w14:paraId="14ADE313">
      <w:pPr>
        <w:spacing w:line="360" w:lineRule="auto"/>
        <w:jc w:val="left"/>
        <w:rPr>
          <w:rFonts w:hint="eastAsia" w:ascii="宋体" w:hAnsi="宋体" w:eastAsia="宋体"/>
          <w:b/>
          <w:bCs/>
          <w:color w:val="000000"/>
          <w:sz w:val="24"/>
        </w:rPr>
      </w:pPr>
      <w:r>
        <w:rPr>
          <w:rFonts w:ascii="宋体" w:hAnsi="宋体" w:eastAsia="宋体"/>
          <w:color w:val="000000"/>
          <w:sz w:val="24"/>
        </w:rPr>
        <w:t>二、</w:t>
      </w:r>
      <w:r>
        <w:rPr>
          <w:rFonts w:ascii="宋体" w:hAnsi="宋体" w:eastAsia="宋体"/>
          <w:b/>
          <w:bCs/>
          <w:color w:val="000000"/>
          <w:sz w:val="24"/>
        </w:rPr>
        <w:t>招标项目概况</w:t>
      </w:r>
      <w:r>
        <w:rPr>
          <w:rFonts w:hint="eastAsia" w:ascii="宋体" w:hAnsi="宋体" w:eastAsia="宋体"/>
          <w:b/>
          <w:bCs/>
          <w:color w:val="000000"/>
          <w:sz w:val="24"/>
        </w:rPr>
        <w:t>：</w:t>
      </w:r>
    </w:p>
    <w:p w14:paraId="4CA81F8B">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1、项目名称：矿山连接道路破损维修工程采购。</w:t>
      </w:r>
    </w:p>
    <w:p w14:paraId="3B4533C7">
      <w:pPr>
        <w:spacing w:line="360" w:lineRule="auto"/>
        <w:ind w:firstLine="480" w:firstLineChars="200"/>
        <w:rPr>
          <w:rFonts w:hint="eastAsia" w:ascii="宋体" w:hAnsi="宋体" w:eastAsia="宋体"/>
          <w:b/>
          <w:bCs/>
          <w:color w:val="000000"/>
          <w:sz w:val="24"/>
        </w:rPr>
      </w:pPr>
      <w:r>
        <w:rPr>
          <w:rFonts w:hint="eastAsia" w:ascii="宋体" w:hAnsi="宋体" w:eastAsia="宋体"/>
          <w:color w:val="000000"/>
          <w:sz w:val="24"/>
        </w:rPr>
        <w:t>2、</w:t>
      </w:r>
      <w:r>
        <w:rPr>
          <w:rFonts w:ascii="宋体" w:hAnsi="宋体" w:eastAsia="宋体"/>
          <w:color w:val="000000"/>
          <w:sz w:val="24"/>
        </w:rPr>
        <w:t>建设地点：山东省济南市章丘区官庄街道办事处弓角湾村。</w:t>
      </w:r>
    </w:p>
    <w:p w14:paraId="36879A59">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3、</w:t>
      </w:r>
      <w:r>
        <w:rPr>
          <w:rFonts w:ascii="宋体" w:hAnsi="宋体" w:eastAsia="宋体"/>
          <w:color w:val="000000"/>
          <w:sz w:val="24"/>
        </w:rPr>
        <w:t>招标范围：道路铣刨、水稳层铺设、沥青混凝土摊铺等</w:t>
      </w:r>
      <w:r>
        <w:rPr>
          <w:rFonts w:hint="eastAsia" w:ascii="宋体" w:hAnsi="宋体" w:eastAsia="宋体"/>
          <w:color w:val="000000"/>
          <w:sz w:val="24"/>
        </w:rPr>
        <w:t>施工内容</w:t>
      </w:r>
      <w:r>
        <w:rPr>
          <w:rFonts w:ascii="宋体" w:hAnsi="宋体" w:eastAsia="宋体"/>
          <w:color w:val="000000"/>
          <w:sz w:val="24"/>
        </w:rPr>
        <w:t>，具体内容详见工程量清单</w:t>
      </w:r>
      <w:r>
        <w:rPr>
          <w:rFonts w:hint="eastAsia" w:ascii="宋体" w:hAnsi="宋体" w:eastAsia="宋体"/>
          <w:color w:val="000000"/>
          <w:sz w:val="24"/>
        </w:rPr>
        <w:t>。</w:t>
      </w:r>
    </w:p>
    <w:p w14:paraId="37CEF1E6">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4、工期要求：</w:t>
      </w:r>
      <w:r>
        <w:rPr>
          <w:rFonts w:ascii="宋体" w:hAnsi="宋体" w:eastAsia="宋体"/>
          <w:color w:val="000000"/>
          <w:sz w:val="24"/>
        </w:rPr>
        <w:t>为确保工程高效完成，特制定以下强制性工期节点，投标人必须据此安排施工方案与资源：</w:t>
      </w:r>
    </w:p>
    <w:p w14:paraId="55184A03">
      <w:pPr>
        <w:spacing w:line="360" w:lineRule="auto"/>
        <w:ind w:firstLine="480" w:firstLineChars="200"/>
        <w:rPr>
          <w:rFonts w:hint="eastAsia" w:ascii="宋体" w:hAnsi="宋体" w:eastAsia="宋体"/>
          <w:color w:val="000000"/>
          <w:sz w:val="24"/>
          <w:highlight w:val="none"/>
          <w:lang w:eastAsia="zh-CN"/>
        </w:rPr>
      </w:pPr>
      <w:r>
        <w:rPr>
          <w:rFonts w:hint="eastAsia" w:ascii="宋体" w:hAnsi="宋体" w:eastAsia="宋体"/>
          <w:color w:val="000000"/>
          <w:sz w:val="24"/>
          <w:lang w:val="en-US" w:eastAsia="zh-CN"/>
        </w:rPr>
        <w:t>4.1</w:t>
      </w:r>
      <w:r>
        <w:rPr>
          <w:rFonts w:ascii="宋体" w:hAnsi="宋体" w:eastAsia="宋体"/>
          <w:color w:val="000000"/>
          <w:sz w:val="24"/>
        </w:rPr>
        <w:t>、关键工期节点</w:t>
      </w:r>
      <w:r>
        <w:rPr>
          <w:rFonts w:hint="eastAsia" w:ascii="宋体" w:hAnsi="宋体" w:eastAsia="宋体"/>
          <w:color w:val="000000"/>
          <w:sz w:val="24"/>
          <w:highlight w:val="none"/>
          <w:lang w:eastAsia="zh-CN"/>
        </w:rPr>
        <w:t>（</w:t>
      </w:r>
      <w:r>
        <w:rPr>
          <w:rFonts w:hint="eastAsia" w:ascii="宋体" w:hAnsi="宋体" w:eastAsia="宋体"/>
          <w:color w:val="000000"/>
          <w:sz w:val="24"/>
          <w:highlight w:val="none"/>
          <w:lang w:val="en-US" w:eastAsia="zh-CN"/>
        </w:rPr>
        <w:t>暂定时间：以甲方开工令为准</w:t>
      </w:r>
      <w:r>
        <w:rPr>
          <w:rFonts w:hint="eastAsia" w:ascii="宋体" w:hAnsi="宋体" w:eastAsia="宋体"/>
          <w:color w:val="000000"/>
          <w:sz w:val="24"/>
          <w:highlight w:val="none"/>
          <w:lang w:eastAsia="zh-CN"/>
        </w:rPr>
        <w:t>）</w:t>
      </w:r>
    </w:p>
    <w:p w14:paraId="20E22422">
      <w:pPr>
        <w:spacing w:line="360" w:lineRule="auto"/>
        <w:ind w:firstLine="720" w:firstLineChars="300"/>
        <w:rPr>
          <w:rFonts w:hint="eastAsia" w:ascii="宋体" w:hAnsi="宋体" w:eastAsia="宋体"/>
          <w:color w:val="000000"/>
          <w:sz w:val="24"/>
        </w:rPr>
      </w:pPr>
      <w:r>
        <w:rPr>
          <w:rFonts w:ascii="宋体" w:hAnsi="宋体" w:eastAsia="宋体"/>
          <w:color w:val="000000"/>
          <w:sz w:val="24"/>
        </w:rPr>
        <w:t>第一阶段（基层施工）：2026年2月1</w:t>
      </w:r>
      <w:r>
        <w:rPr>
          <w:rFonts w:hint="eastAsia" w:ascii="宋体" w:hAnsi="宋体" w:eastAsia="宋体"/>
          <w:color w:val="000000"/>
          <w:sz w:val="24"/>
        </w:rPr>
        <w:t>3</w:t>
      </w:r>
      <w:r>
        <w:rPr>
          <w:rFonts w:ascii="宋体" w:hAnsi="宋体" w:eastAsia="宋体"/>
          <w:color w:val="000000"/>
          <w:sz w:val="24"/>
        </w:rPr>
        <w:t>日</w:t>
      </w:r>
      <w:r>
        <w:rPr>
          <w:rFonts w:hint="eastAsia" w:ascii="宋体" w:hAnsi="宋体" w:eastAsia="宋体"/>
          <w:color w:val="000000"/>
          <w:sz w:val="24"/>
        </w:rPr>
        <w:t>（腊月二十六）</w:t>
      </w:r>
      <w:r>
        <w:rPr>
          <w:rFonts w:ascii="宋体" w:hAnsi="宋体" w:eastAsia="宋体"/>
          <w:color w:val="000000"/>
          <w:sz w:val="24"/>
        </w:rPr>
        <w:t>至2月14日（</w:t>
      </w:r>
      <w:r>
        <w:rPr>
          <w:rFonts w:hint="eastAsia" w:ascii="宋体" w:hAnsi="宋体" w:eastAsia="宋体"/>
          <w:color w:val="000000"/>
          <w:sz w:val="24"/>
        </w:rPr>
        <w:t>腊月二十七</w:t>
      </w:r>
      <w:r>
        <w:rPr>
          <w:rFonts w:ascii="宋体" w:hAnsi="宋体" w:eastAsia="宋体"/>
          <w:color w:val="000000"/>
          <w:sz w:val="24"/>
        </w:rPr>
        <w:t>），必须完成全部道路的水稳碎石基层的铺设与养护</w:t>
      </w:r>
      <w:r>
        <w:rPr>
          <w:rFonts w:hint="eastAsia" w:ascii="宋体" w:hAnsi="宋体" w:eastAsia="宋体"/>
          <w:color w:val="000000"/>
          <w:sz w:val="24"/>
        </w:rPr>
        <w:t>覆盖</w:t>
      </w:r>
      <w:r>
        <w:rPr>
          <w:rFonts w:ascii="宋体" w:hAnsi="宋体" w:eastAsia="宋体"/>
          <w:color w:val="000000"/>
          <w:sz w:val="24"/>
        </w:rPr>
        <w:t>工作。</w:t>
      </w:r>
    </w:p>
    <w:p w14:paraId="340A9B86">
      <w:pPr>
        <w:spacing w:line="360" w:lineRule="auto"/>
        <w:ind w:firstLine="720" w:firstLineChars="300"/>
        <w:rPr>
          <w:rFonts w:ascii="宋体" w:hAnsi="宋体" w:eastAsia="宋体"/>
          <w:color w:val="000000"/>
          <w:sz w:val="24"/>
        </w:rPr>
      </w:pPr>
      <w:r>
        <w:rPr>
          <w:rFonts w:ascii="宋体" w:hAnsi="宋体" w:eastAsia="宋体"/>
          <w:color w:val="000000"/>
          <w:sz w:val="24"/>
        </w:rPr>
        <w:t>第二阶段（面层及附属施工）：2026年2月24日</w:t>
      </w:r>
      <w:r>
        <w:rPr>
          <w:rFonts w:hint="eastAsia" w:ascii="宋体" w:hAnsi="宋体" w:eastAsia="宋体"/>
          <w:color w:val="000000"/>
          <w:sz w:val="24"/>
        </w:rPr>
        <w:t>（正月初八）</w:t>
      </w:r>
      <w:r>
        <w:rPr>
          <w:rFonts w:ascii="宋体" w:hAnsi="宋体" w:eastAsia="宋体"/>
          <w:color w:val="000000"/>
          <w:sz w:val="24"/>
        </w:rPr>
        <w:t>至2月2</w:t>
      </w:r>
      <w:r>
        <w:rPr>
          <w:rFonts w:hint="eastAsia" w:ascii="宋体" w:hAnsi="宋体" w:eastAsia="宋体"/>
          <w:color w:val="000000"/>
          <w:sz w:val="24"/>
        </w:rPr>
        <w:t>7</w:t>
      </w:r>
      <w:r>
        <w:rPr>
          <w:rFonts w:ascii="宋体" w:hAnsi="宋体" w:eastAsia="宋体"/>
          <w:color w:val="000000"/>
          <w:sz w:val="24"/>
        </w:rPr>
        <w:t>日</w:t>
      </w:r>
      <w:r>
        <w:rPr>
          <w:rFonts w:hint="eastAsia" w:ascii="宋体" w:hAnsi="宋体" w:eastAsia="宋体"/>
          <w:color w:val="000000"/>
          <w:sz w:val="24"/>
        </w:rPr>
        <w:t>（正月十一）</w:t>
      </w:r>
      <w:r>
        <w:rPr>
          <w:rFonts w:ascii="宋体" w:hAnsi="宋体" w:eastAsia="宋体"/>
          <w:color w:val="000000"/>
          <w:sz w:val="24"/>
        </w:rPr>
        <w:t>，必须完成</w:t>
      </w:r>
      <w:r>
        <w:rPr>
          <w:rFonts w:hint="eastAsia" w:ascii="宋体" w:hAnsi="宋体" w:eastAsia="宋体"/>
          <w:color w:val="000000"/>
          <w:sz w:val="24"/>
          <w:lang w:val="en-US" w:eastAsia="zh-CN"/>
        </w:rPr>
        <w:t>原沥青道路的</w:t>
      </w:r>
      <w:r>
        <w:rPr>
          <w:rFonts w:ascii="宋体" w:hAnsi="宋体" w:eastAsia="宋体"/>
          <w:color w:val="000000"/>
          <w:sz w:val="24"/>
        </w:rPr>
        <w:t>铣刨</w:t>
      </w:r>
      <w:r>
        <w:rPr>
          <w:rFonts w:hint="eastAsia" w:ascii="宋体" w:hAnsi="宋体" w:eastAsia="宋体"/>
          <w:color w:val="000000"/>
          <w:sz w:val="24"/>
          <w:lang w:val="en-US" w:eastAsia="zh-CN"/>
        </w:rPr>
        <w:t>及</w:t>
      </w:r>
      <w:r>
        <w:rPr>
          <w:rFonts w:ascii="宋体" w:hAnsi="宋体" w:eastAsia="宋体"/>
          <w:color w:val="000000"/>
          <w:sz w:val="24"/>
        </w:rPr>
        <w:t>沥青混凝土面层的摊铺、压实工作。</w:t>
      </w:r>
    </w:p>
    <w:p w14:paraId="34874D73">
      <w:pPr>
        <w:spacing w:line="360" w:lineRule="auto"/>
        <w:rPr>
          <w:rFonts w:hint="default" w:ascii="宋体" w:hAnsi="宋体" w:eastAsia="宋体"/>
          <w:color w:val="000000"/>
          <w:sz w:val="24"/>
          <w:lang w:val="en-US" w:eastAsia="zh-CN"/>
        </w:rPr>
      </w:pPr>
      <w:r>
        <w:rPr>
          <w:rFonts w:hint="eastAsia" w:ascii="宋体" w:hAnsi="宋体" w:eastAsia="宋体"/>
          <w:color w:val="000000"/>
          <w:sz w:val="24"/>
          <w:lang w:val="en-US" w:eastAsia="zh-CN"/>
        </w:rPr>
        <w:t xml:space="preserve">  </w:t>
      </w:r>
      <w:r>
        <w:rPr>
          <w:rFonts w:hint="eastAsia" w:ascii="宋体" w:hAnsi="宋体" w:eastAsia="宋体"/>
          <w:color w:val="000000"/>
          <w:sz w:val="24"/>
          <w:highlight w:val="none"/>
          <w:lang w:val="en-US" w:eastAsia="zh-CN"/>
        </w:rPr>
        <w:t xml:space="preserve"> 5.招标控制价：133.4万元（含暂列金5万元），投标人投标报价超过招标控制价的按无效投标处理。</w:t>
      </w:r>
    </w:p>
    <w:p w14:paraId="663D173C">
      <w:pPr>
        <w:spacing w:line="360" w:lineRule="auto"/>
        <w:jc w:val="left"/>
        <w:rPr>
          <w:rFonts w:hint="eastAsia" w:ascii="宋体" w:hAnsi="宋体" w:eastAsia="宋体" w:cs="Times New Roman"/>
          <w:b/>
          <w:bCs/>
          <w:color w:val="000000"/>
          <w:sz w:val="24"/>
        </w:rPr>
      </w:pPr>
      <w:r>
        <w:rPr>
          <w:rFonts w:hint="eastAsia" w:ascii="宋体" w:hAnsi="宋体" w:eastAsia="宋体" w:cs="Times New Roman"/>
          <w:b/>
          <w:bCs/>
          <w:color w:val="000000"/>
          <w:sz w:val="24"/>
          <w:lang w:val="en-US" w:eastAsia="zh-CN"/>
        </w:rPr>
        <w:t>三</w:t>
      </w:r>
      <w:r>
        <w:rPr>
          <w:rFonts w:hint="eastAsia" w:ascii="宋体" w:hAnsi="宋体" w:eastAsia="宋体" w:cs="Times New Roman"/>
          <w:b/>
          <w:bCs/>
          <w:color w:val="000000"/>
          <w:sz w:val="24"/>
        </w:rPr>
        <w:t>、</w:t>
      </w:r>
      <w:r>
        <w:rPr>
          <w:rFonts w:ascii="宋体" w:hAnsi="宋体" w:eastAsia="宋体" w:cs="Times New Roman"/>
          <w:b/>
          <w:bCs/>
          <w:color w:val="000000"/>
          <w:sz w:val="24"/>
        </w:rPr>
        <w:t>总工期</w:t>
      </w:r>
    </w:p>
    <w:p w14:paraId="3986470A">
      <w:pPr>
        <w:spacing w:line="360" w:lineRule="auto"/>
        <w:ind w:firstLine="480" w:firstLineChars="200"/>
        <w:rPr>
          <w:rFonts w:hint="eastAsia" w:ascii="宋体" w:hAnsi="宋体" w:eastAsia="宋体"/>
          <w:color w:val="000000"/>
          <w:sz w:val="24"/>
          <w:lang w:eastAsia="zh-CN"/>
        </w:rPr>
      </w:pPr>
      <w:r>
        <w:rPr>
          <w:rFonts w:ascii="宋体" w:hAnsi="宋体" w:eastAsia="宋体"/>
          <w:color w:val="000000"/>
          <w:sz w:val="24"/>
        </w:rPr>
        <w:t>总有效施工工期为</w:t>
      </w:r>
      <w:r>
        <w:rPr>
          <w:rFonts w:hint="eastAsia" w:ascii="宋体" w:hAnsi="宋体" w:eastAsia="宋体"/>
          <w:color w:val="000000"/>
          <w:sz w:val="24"/>
        </w:rPr>
        <w:t>6</w:t>
      </w:r>
      <w:r>
        <w:rPr>
          <w:rFonts w:ascii="宋体" w:hAnsi="宋体" w:eastAsia="宋体"/>
          <w:color w:val="000000"/>
          <w:sz w:val="24"/>
        </w:rPr>
        <w:t>个日历日。中间间隔期为水稳层必要的养护期及春节假期，承包人应做好施工组织，确保在2026年2月2</w:t>
      </w:r>
      <w:r>
        <w:rPr>
          <w:rFonts w:hint="eastAsia" w:ascii="宋体" w:hAnsi="宋体" w:eastAsia="宋体"/>
          <w:color w:val="000000"/>
          <w:sz w:val="24"/>
          <w:lang w:val="en-US" w:eastAsia="zh-CN"/>
        </w:rPr>
        <w:t>8</w:t>
      </w:r>
      <w:r>
        <w:rPr>
          <w:rFonts w:ascii="宋体" w:hAnsi="宋体" w:eastAsia="宋体"/>
          <w:color w:val="000000"/>
          <w:sz w:val="24"/>
        </w:rPr>
        <w:t>日前全面完工并</w:t>
      </w:r>
      <w:r>
        <w:rPr>
          <w:rFonts w:hint="eastAsia" w:ascii="宋体" w:hAnsi="宋体" w:eastAsia="宋体"/>
          <w:color w:val="000000"/>
          <w:sz w:val="24"/>
        </w:rPr>
        <w:t>通车试行</w:t>
      </w:r>
      <w:r>
        <w:rPr>
          <w:rFonts w:ascii="宋体" w:hAnsi="宋体" w:eastAsia="宋体"/>
          <w:color w:val="000000"/>
          <w:sz w:val="24"/>
        </w:rPr>
        <w:t>。</w:t>
      </w:r>
      <w:r>
        <w:rPr>
          <w:rFonts w:hint="eastAsia" w:ascii="宋体" w:hAnsi="宋体" w:eastAsia="宋体"/>
          <w:color w:val="000000"/>
          <w:sz w:val="24"/>
          <w:lang w:eastAsia="zh-CN"/>
        </w:rPr>
        <w:t>（不可抗力</w:t>
      </w:r>
      <w:r>
        <w:rPr>
          <w:rFonts w:hint="eastAsia" w:ascii="宋体" w:hAnsi="宋体" w:eastAsia="宋体"/>
          <w:color w:val="000000"/>
          <w:sz w:val="24"/>
          <w:lang w:val="en-US" w:eastAsia="zh-CN"/>
        </w:rPr>
        <w:t>导致的工期顺延。</w:t>
      </w:r>
      <w:r>
        <w:rPr>
          <w:rFonts w:hint="eastAsia" w:ascii="宋体" w:hAnsi="宋体" w:eastAsia="宋体"/>
          <w:color w:val="000000"/>
          <w:sz w:val="24"/>
          <w:lang w:eastAsia="zh-CN"/>
        </w:rPr>
        <w:t>）</w:t>
      </w:r>
    </w:p>
    <w:p w14:paraId="3D772204">
      <w:pPr>
        <w:spacing w:line="360" w:lineRule="auto"/>
        <w:jc w:val="left"/>
        <w:rPr>
          <w:rFonts w:hint="eastAsia" w:ascii="宋体" w:hAnsi="宋体" w:eastAsia="宋体" w:cs="Times New Roman"/>
          <w:b/>
          <w:bCs/>
          <w:color w:val="000000"/>
          <w:sz w:val="24"/>
          <w:lang w:val="en-US" w:eastAsia="zh-CN"/>
        </w:rPr>
      </w:pPr>
      <w:r>
        <w:rPr>
          <w:rFonts w:hint="eastAsia" w:ascii="宋体" w:hAnsi="宋体" w:eastAsia="宋体" w:cs="Times New Roman"/>
          <w:b/>
          <w:bCs/>
          <w:color w:val="000000"/>
          <w:sz w:val="24"/>
          <w:lang w:val="en-US" w:eastAsia="zh-CN"/>
        </w:rPr>
        <w:t>四、材料质量要求</w:t>
      </w:r>
    </w:p>
    <w:p w14:paraId="5DB23B68">
      <w:pPr>
        <w:spacing w:line="360" w:lineRule="auto"/>
        <w:ind w:firstLine="480" w:firstLineChars="200"/>
        <w:rPr>
          <w:rFonts w:hint="default" w:ascii="宋体" w:hAnsi="宋体" w:eastAsia="宋体"/>
          <w:color w:val="000000"/>
          <w:sz w:val="24"/>
          <w:highlight w:val="none"/>
        </w:rPr>
      </w:pPr>
      <w:r>
        <w:rPr>
          <w:rFonts w:hint="default" w:ascii="宋体" w:hAnsi="宋体" w:eastAsia="宋体"/>
          <w:color w:val="000000"/>
          <w:sz w:val="24"/>
          <w:highlight w:val="none"/>
        </w:rPr>
        <w:t>本项目为矿山主干道系统性维修工程，修复后的道路</w:t>
      </w:r>
      <w:r>
        <w:rPr>
          <w:rFonts w:hint="eastAsia" w:ascii="宋体" w:hAnsi="宋体" w:eastAsia="宋体"/>
          <w:color w:val="000000"/>
          <w:sz w:val="24"/>
          <w:highlight w:val="none"/>
          <w:lang w:val="en-US" w:eastAsia="zh-CN"/>
        </w:rPr>
        <w:t>需</w:t>
      </w:r>
      <w:r>
        <w:rPr>
          <w:rFonts w:hint="default" w:ascii="宋体" w:hAnsi="宋体" w:eastAsia="宋体"/>
          <w:color w:val="000000"/>
          <w:sz w:val="24"/>
          <w:highlight w:val="none"/>
        </w:rPr>
        <w:t>长期承受高强度、高频次的重载交通荷载。为确保道路面层具备极高的抗车辙、抗疲劳、耐久及抗滑性能，其核心材料——沥青及相关混合料的质量是决定工程成败的关键。同时，沥青材料对温度敏感，长距离运输易导致温度离析与性能衰减，直接影响摊铺与最终路用效果。因此，严格控制沥青材料质量，并确保其供应源具备稳定生产高品质产品的能力与合理的运输半径，</w:t>
      </w:r>
      <w:r>
        <w:rPr>
          <w:rFonts w:hint="eastAsia" w:ascii="宋体" w:hAnsi="宋体" w:eastAsia="宋体"/>
          <w:color w:val="000000"/>
          <w:sz w:val="24"/>
          <w:highlight w:val="none"/>
          <w:lang w:val="en-US" w:eastAsia="zh-CN"/>
        </w:rPr>
        <w:t>特规定以下要求：</w:t>
      </w:r>
    </w:p>
    <w:p w14:paraId="1A7BB35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239" w:leftChars="114" w:firstLine="240" w:firstLineChars="100"/>
        <w:textAlignment w:val="auto"/>
        <w:rPr>
          <w:rFonts w:hint="eastAsia"/>
          <w:lang w:eastAsia="zh-CN"/>
        </w:rPr>
      </w:pPr>
      <w:r>
        <w:rPr>
          <w:rFonts w:hint="default" w:ascii="宋体" w:hAnsi="宋体" w:eastAsia="宋体"/>
          <w:color w:val="000000"/>
          <w:sz w:val="24"/>
          <w:highlight w:val="none"/>
        </w:rPr>
        <w:t>核心沥青材料技术指标要求</w:t>
      </w:r>
    </w:p>
    <w:p w14:paraId="1F0632B6">
      <w:pPr>
        <w:spacing w:line="360" w:lineRule="auto"/>
        <w:ind w:firstLine="480" w:firstLineChars="200"/>
        <w:rPr>
          <w:rFonts w:hint="eastAsia" w:ascii="宋体" w:hAnsi="宋体" w:eastAsia="宋体"/>
          <w:color w:val="000000"/>
          <w:sz w:val="24"/>
          <w:highlight w:val="none"/>
          <w:lang w:eastAsia="zh-CN"/>
        </w:rPr>
      </w:pPr>
      <w:r>
        <w:rPr>
          <w:rFonts w:hint="eastAsia" w:ascii="宋体" w:hAnsi="宋体" w:eastAsia="宋体"/>
          <w:color w:val="000000"/>
          <w:sz w:val="24"/>
          <w:highlight w:val="none"/>
          <w:lang w:val="en-US" w:eastAsia="zh-CN"/>
        </w:rPr>
        <w:t>1.1、</w:t>
      </w:r>
      <w:r>
        <w:rPr>
          <w:rFonts w:hint="default" w:ascii="宋体" w:hAnsi="宋体" w:eastAsia="宋体"/>
          <w:color w:val="000000"/>
          <w:sz w:val="24"/>
          <w:highlight w:val="none"/>
        </w:rPr>
        <w:t>所有沥青材料必须符合但不限于《公路沥青路面施工技术规范》等国家及行业最新标准</w:t>
      </w:r>
      <w:r>
        <w:rPr>
          <w:rFonts w:hint="eastAsia" w:ascii="宋体" w:hAnsi="宋体" w:eastAsia="宋体"/>
          <w:color w:val="000000"/>
          <w:sz w:val="24"/>
          <w:highlight w:val="none"/>
          <w:lang w:eastAsia="zh-CN"/>
        </w:rPr>
        <w:t>。</w:t>
      </w:r>
    </w:p>
    <w:p w14:paraId="266731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olor w:val="000000"/>
          <w:sz w:val="24"/>
          <w:highlight w:val="none"/>
        </w:rPr>
      </w:pPr>
      <w:r>
        <w:rPr>
          <w:rFonts w:hint="eastAsia" w:ascii="宋体" w:hAnsi="宋体" w:eastAsia="宋体"/>
          <w:color w:val="000000"/>
          <w:sz w:val="24"/>
          <w:highlight w:val="none"/>
          <w:lang w:val="en-US" w:eastAsia="zh-CN"/>
        </w:rPr>
        <w:t>1.2</w:t>
      </w:r>
      <w:r>
        <w:rPr>
          <w:rFonts w:hint="default" w:ascii="宋体" w:hAnsi="宋体" w:eastAsia="宋体"/>
          <w:color w:val="000000"/>
          <w:sz w:val="24"/>
          <w:highlight w:val="none"/>
        </w:rPr>
        <w:t>基质沥青：用于生产SBS改性沥青、乳化沥青的基质沥青，必须为全新生产的石油沥青，严禁使用任何来源的回收沥青路面材料（RAP）、废旧沥青或再生沥青。</w:t>
      </w:r>
    </w:p>
    <w:p w14:paraId="0A34A1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olor w:val="000000"/>
          <w:sz w:val="24"/>
          <w:highlight w:val="none"/>
        </w:rPr>
      </w:pPr>
      <w:r>
        <w:rPr>
          <w:rFonts w:hint="eastAsia" w:ascii="宋体" w:hAnsi="宋体" w:eastAsia="宋体"/>
          <w:color w:val="000000"/>
          <w:sz w:val="24"/>
          <w:highlight w:val="none"/>
          <w:lang w:val="en-US" w:eastAsia="zh-CN"/>
        </w:rPr>
        <w:t>1.3、</w:t>
      </w:r>
      <w:r>
        <w:rPr>
          <w:rFonts w:hint="default" w:ascii="宋体" w:hAnsi="宋体" w:eastAsia="宋体"/>
          <w:color w:val="000000"/>
          <w:sz w:val="24"/>
          <w:highlight w:val="none"/>
        </w:rPr>
        <w:t>SBS改性剂及添加剂：必须为原生全新材料，性能指标稳定。</w:t>
      </w:r>
    </w:p>
    <w:p w14:paraId="4BD30E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olor w:val="000000"/>
          <w:sz w:val="24"/>
          <w:highlight w:val="none"/>
          <w:lang w:val="en-US" w:eastAsia="zh-CN"/>
        </w:rPr>
      </w:pPr>
      <w:r>
        <w:rPr>
          <w:rFonts w:hint="eastAsia" w:ascii="宋体" w:hAnsi="宋体" w:eastAsia="宋体"/>
          <w:color w:val="000000"/>
          <w:sz w:val="24"/>
          <w:highlight w:val="none"/>
          <w:lang w:val="en-US" w:eastAsia="zh-CN"/>
        </w:rPr>
        <w:t>1.4、</w:t>
      </w:r>
      <w:r>
        <w:rPr>
          <w:rFonts w:hint="default" w:ascii="宋体" w:hAnsi="宋体" w:eastAsia="宋体"/>
          <w:color w:val="000000"/>
          <w:sz w:val="24"/>
          <w:highlight w:val="none"/>
        </w:rPr>
        <w:t>供应商须有能力提供其基质沥青的原始采购来源及证明（如基础沥青的出厂质量报告）</w:t>
      </w:r>
    </w:p>
    <w:p w14:paraId="47DBF3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highlight w:val="none"/>
        </w:rPr>
      </w:pPr>
      <w:r>
        <w:rPr>
          <w:rFonts w:hint="eastAsia" w:ascii="宋体" w:hAnsi="宋体" w:eastAsia="宋体"/>
          <w:color w:val="000000"/>
          <w:sz w:val="24"/>
          <w:highlight w:val="none"/>
          <w:lang w:val="en-US" w:eastAsia="zh-CN"/>
        </w:rPr>
        <w:t>2、材料供应商</w:t>
      </w:r>
      <w:r>
        <w:rPr>
          <w:rFonts w:hint="default" w:ascii="宋体" w:hAnsi="宋体" w:eastAsia="宋体"/>
          <w:color w:val="000000"/>
          <w:sz w:val="24"/>
          <w:highlight w:val="none"/>
        </w:rPr>
        <w:t>资格与保障能力要求</w:t>
      </w:r>
    </w:p>
    <w:p w14:paraId="506799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highlight w:val="none"/>
          <w:lang w:eastAsia="zh-CN"/>
        </w:rPr>
      </w:pPr>
      <w:r>
        <w:rPr>
          <w:rFonts w:hint="eastAsia" w:ascii="宋体" w:hAnsi="宋体" w:eastAsia="宋体"/>
          <w:color w:val="000000"/>
          <w:sz w:val="24"/>
          <w:highlight w:val="none"/>
          <w:lang w:val="en-US" w:eastAsia="zh-CN"/>
        </w:rPr>
        <w:t>2.1、</w:t>
      </w:r>
      <w:r>
        <w:rPr>
          <w:rFonts w:hint="default" w:ascii="宋体" w:hAnsi="宋体" w:eastAsia="宋体"/>
          <w:color w:val="000000"/>
          <w:sz w:val="24"/>
          <w:highlight w:val="none"/>
        </w:rPr>
        <w:t>生产资质与能力：具备合法的生产经营资格，拥有固定的、先进的生产基地，SBS改性沥青生产线必须采用成熟的胶体磨或高剪切工艺</w:t>
      </w:r>
      <w:r>
        <w:rPr>
          <w:rFonts w:hint="eastAsia" w:ascii="宋体" w:hAnsi="宋体" w:eastAsia="宋体"/>
          <w:color w:val="000000"/>
          <w:sz w:val="24"/>
          <w:highlight w:val="none"/>
          <w:lang w:eastAsia="zh-CN"/>
        </w:rPr>
        <w:t>。</w:t>
      </w:r>
    </w:p>
    <w:p w14:paraId="1F4F77AE">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lang w:val="en-US" w:eastAsia="zh-CN"/>
        </w:rPr>
        <w:t>2.2、</w:t>
      </w:r>
      <w:r>
        <w:rPr>
          <w:rFonts w:hint="default" w:ascii="宋体" w:hAnsi="宋体" w:eastAsia="宋体"/>
          <w:color w:val="000000"/>
          <w:sz w:val="24"/>
          <w:highlight w:val="none"/>
        </w:rPr>
        <w:t>质量保证体系：通过ISO9001质量管理体系认证，具备完善的实验室检测能力，能对上述所有关键指标进行自检，并承诺接受招标人及第三方机构的抽检。</w:t>
      </w:r>
    </w:p>
    <w:p w14:paraId="38598173">
      <w:pPr>
        <w:spacing w:line="360" w:lineRule="auto"/>
        <w:ind w:firstLine="480" w:firstLineChars="200"/>
        <w:rPr>
          <w:rFonts w:hint="default" w:ascii="宋体" w:hAnsi="宋体" w:eastAsia="宋体"/>
          <w:color w:val="000000"/>
          <w:sz w:val="24"/>
          <w:highlight w:val="none"/>
        </w:rPr>
      </w:pPr>
      <w:r>
        <w:rPr>
          <w:rFonts w:hint="eastAsia" w:ascii="宋体" w:hAnsi="宋体" w:eastAsia="宋体"/>
          <w:color w:val="000000"/>
          <w:sz w:val="24"/>
          <w:highlight w:val="none"/>
          <w:lang w:val="en-US" w:eastAsia="zh-CN"/>
        </w:rPr>
        <w:t>2.3、</w:t>
      </w:r>
      <w:r>
        <w:rPr>
          <w:rFonts w:hint="default" w:ascii="宋体" w:hAnsi="宋体" w:eastAsia="宋体"/>
          <w:color w:val="000000"/>
          <w:sz w:val="24"/>
          <w:highlight w:val="none"/>
        </w:rPr>
        <w:t>本地化服务与成功经验：为保障供应时效性与材料温度稳定性，优先推荐运输半径在</w:t>
      </w:r>
      <w:r>
        <w:rPr>
          <w:rFonts w:hint="eastAsia" w:ascii="宋体" w:hAnsi="宋体" w:eastAsia="宋体"/>
          <w:color w:val="000000"/>
          <w:sz w:val="24"/>
          <w:highlight w:val="none"/>
          <w:lang w:val="en-US" w:eastAsia="zh-CN"/>
        </w:rPr>
        <w:t>50</w:t>
      </w:r>
      <w:r>
        <w:rPr>
          <w:rFonts w:hint="default" w:ascii="宋体" w:hAnsi="宋体" w:eastAsia="宋体"/>
          <w:color w:val="000000"/>
          <w:sz w:val="24"/>
          <w:highlight w:val="none"/>
        </w:rPr>
        <w:t>公里范围内、能提供24小时内应急响应服务的生产供应商。</w:t>
      </w:r>
    </w:p>
    <w:p w14:paraId="5E29B383">
      <w:pPr>
        <w:spacing w:line="360" w:lineRule="auto"/>
        <w:ind w:firstLine="480" w:firstLineChars="200"/>
        <w:rPr>
          <w:rFonts w:hint="default" w:ascii="宋体" w:hAnsi="宋体" w:eastAsia="宋体"/>
          <w:color w:val="000000"/>
          <w:sz w:val="24"/>
          <w:highlight w:val="none"/>
        </w:rPr>
      </w:pPr>
      <w:r>
        <w:rPr>
          <w:rFonts w:hint="eastAsia" w:ascii="宋体" w:hAnsi="宋体" w:eastAsia="宋体"/>
          <w:color w:val="000000"/>
          <w:sz w:val="24"/>
          <w:highlight w:val="none"/>
          <w:lang w:val="en-US" w:eastAsia="zh-CN"/>
        </w:rPr>
        <w:t>2.4、</w:t>
      </w:r>
      <w:r>
        <w:rPr>
          <w:rFonts w:hint="default" w:ascii="宋体" w:hAnsi="宋体" w:eastAsia="宋体"/>
          <w:color w:val="000000"/>
          <w:sz w:val="24"/>
          <w:highlight w:val="none"/>
        </w:rPr>
        <w:t>供货承诺：</w:t>
      </w:r>
      <w:r>
        <w:rPr>
          <w:rFonts w:hint="eastAsia" w:ascii="宋体" w:hAnsi="宋体" w:eastAsia="宋体"/>
          <w:color w:val="000000"/>
          <w:sz w:val="24"/>
          <w:highlight w:val="none"/>
          <w:lang w:val="en-US" w:eastAsia="zh-CN"/>
        </w:rPr>
        <w:t>投标单位</w:t>
      </w:r>
      <w:r>
        <w:rPr>
          <w:rFonts w:hint="default" w:ascii="宋体" w:hAnsi="宋体" w:eastAsia="宋体"/>
          <w:color w:val="000000"/>
          <w:sz w:val="24"/>
          <w:highlight w:val="none"/>
        </w:rPr>
        <w:t>必须针对本项目向招标人出具《</w:t>
      </w:r>
      <w:r>
        <w:rPr>
          <w:rFonts w:hint="eastAsia" w:ascii="宋体" w:hAnsi="宋体" w:eastAsia="宋体"/>
          <w:color w:val="000000"/>
          <w:sz w:val="24"/>
          <w:highlight w:val="none"/>
          <w:lang w:val="en-US" w:eastAsia="zh-CN"/>
        </w:rPr>
        <w:t>材料</w:t>
      </w:r>
      <w:r>
        <w:rPr>
          <w:rFonts w:hint="default" w:ascii="宋体" w:hAnsi="宋体" w:eastAsia="宋体"/>
          <w:color w:val="000000"/>
          <w:sz w:val="24"/>
          <w:highlight w:val="none"/>
        </w:rPr>
        <w:t>质量保证承诺函》，明确承诺按技术要求的最高标准供货，并承担因材料质量引发的一切责任。</w:t>
      </w:r>
    </w:p>
    <w:p w14:paraId="286C9573">
      <w:pPr>
        <w:spacing w:line="360" w:lineRule="auto"/>
        <w:ind w:firstLine="480" w:firstLineChars="200"/>
        <w:rPr>
          <w:rFonts w:hint="default" w:ascii="宋体" w:hAnsi="宋体" w:eastAsia="宋体" w:cs="Times New Roman"/>
          <w:color w:val="000000"/>
          <w:sz w:val="24"/>
          <w:highlight w:val="none"/>
        </w:rPr>
      </w:pPr>
      <w:r>
        <w:rPr>
          <w:rFonts w:hint="eastAsia" w:ascii="宋体" w:hAnsi="宋体" w:eastAsia="宋体" w:cs="Times New Roman"/>
          <w:color w:val="000000"/>
          <w:sz w:val="24"/>
          <w:highlight w:val="none"/>
          <w:lang w:val="en-US" w:eastAsia="zh-CN"/>
        </w:rPr>
        <w:t>2.5</w:t>
      </w:r>
      <w:r>
        <w:rPr>
          <w:rFonts w:hint="default" w:ascii="宋体" w:hAnsi="宋体" w:eastAsia="宋体" w:cs="Times New Roman"/>
          <w:color w:val="000000"/>
          <w:sz w:val="24"/>
          <w:highlight w:val="none"/>
        </w:rPr>
        <w:t>企业实力与稳定性：优先推荐生产经营稳定、资金实力雄厚、社会信誉优良的供应商。</w:t>
      </w:r>
    </w:p>
    <w:p w14:paraId="76470FD4">
      <w:pPr>
        <w:spacing w:line="360" w:lineRule="auto"/>
        <w:ind w:firstLine="480" w:firstLineChars="200"/>
        <w:rPr>
          <w:rFonts w:hint="eastAsia" w:ascii="宋体" w:hAnsi="宋体" w:eastAsia="宋体"/>
          <w:color w:val="000000"/>
          <w:sz w:val="24"/>
          <w:highlight w:val="none"/>
        </w:rPr>
      </w:pPr>
      <w:r>
        <w:rPr>
          <w:rFonts w:hint="default" w:ascii="宋体" w:hAnsi="宋体" w:eastAsia="宋体"/>
          <w:color w:val="000000"/>
          <w:sz w:val="24"/>
          <w:highlight w:val="none"/>
        </w:rPr>
        <w:t>推荐具备综合能力的</w:t>
      </w:r>
      <w:r>
        <w:rPr>
          <w:rFonts w:hint="eastAsia" w:ascii="宋体" w:hAnsi="宋体" w:eastAsia="宋体"/>
          <w:color w:val="000000"/>
          <w:sz w:val="24"/>
          <w:highlight w:val="none"/>
          <w:lang w:val="en-US" w:eastAsia="zh-CN"/>
        </w:rPr>
        <w:t>材料供应商</w:t>
      </w:r>
      <w:r>
        <w:rPr>
          <w:rFonts w:hint="default" w:ascii="宋体" w:hAnsi="宋体" w:eastAsia="宋体"/>
          <w:color w:val="000000"/>
          <w:sz w:val="24"/>
          <w:highlight w:val="none"/>
        </w:rPr>
        <w:t>包括但不限于：章丘市金通路桥有限公司</w:t>
      </w:r>
      <w:r>
        <w:rPr>
          <w:rFonts w:hint="eastAsia" w:ascii="宋体" w:hAnsi="宋体" w:eastAsia="宋体"/>
          <w:color w:val="000000"/>
          <w:sz w:val="24"/>
          <w:highlight w:val="none"/>
          <w:lang w:val="en-US" w:eastAsia="zh-CN"/>
        </w:rPr>
        <w:t>下属沥青拌合站</w:t>
      </w:r>
      <w:r>
        <w:rPr>
          <w:rFonts w:hint="default" w:ascii="宋体" w:hAnsi="宋体" w:eastAsia="宋体"/>
          <w:color w:val="000000"/>
          <w:sz w:val="24"/>
          <w:highlight w:val="none"/>
        </w:rPr>
        <w:t>、济南通达公路工程有限公司</w:t>
      </w:r>
      <w:r>
        <w:rPr>
          <w:rFonts w:hint="eastAsia" w:ascii="宋体" w:hAnsi="宋体" w:eastAsia="宋体"/>
          <w:color w:val="000000"/>
          <w:sz w:val="24"/>
          <w:highlight w:val="none"/>
          <w:lang w:val="en-US" w:eastAsia="zh-CN"/>
        </w:rPr>
        <w:t>下属沥青拌合站</w:t>
      </w:r>
      <w:r>
        <w:rPr>
          <w:rFonts w:hint="default" w:ascii="宋体" w:hAnsi="宋体" w:eastAsia="宋体"/>
          <w:color w:val="000000"/>
          <w:sz w:val="24"/>
          <w:highlight w:val="none"/>
        </w:rPr>
        <w:t>、济南市章丘区市政工程处有限公司</w:t>
      </w:r>
      <w:r>
        <w:rPr>
          <w:rFonts w:hint="eastAsia" w:ascii="宋体" w:hAnsi="宋体" w:eastAsia="宋体"/>
          <w:color w:val="000000"/>
          <w:sz w:val="24"/>
          <w:highlight w:val="none"/>
          <w:lang w:val="en-US" w:eastAsia="zh-CN"/>
        </w:rPr>
        <w:t>下属沥青拌合站</w:t>
      </w:r>
      <w:r>
        <w:rPr>
          <w:rFonts w:hint="default" w:ascii="宋体" w:hAnsi="宋体" w:eastAsia="宋体"/>
          <w:color w:val="000000"/>
          <w:sz w:val="24"/>
          <w:highlight w:val="none"/>
        </w:rPr>
        <w:t>，或其他具备同等生产规模、技术实力、质量口碑及本地化服务保障能力的</w:t>
      </w:r>
      <w:r>
        <w:rPr>
          <w:rFonts w:hint="eastAsia" w:ascii="宋体" w:hAnsi="宋体" w:eastAsia="宋体"/>
          <w:color w:val="000000"/>
          <w:sz w:val="24"/>
          <w:highlight w:val="none"/>
          <w:lang w:val="en-US" w:eastAsia="zh-CN"/>
        </w:rPr>
        <w:t>主要材料生产</w:t>
      </w:r>
      <w:r>
        <w:rPr>
          <w:rFonts w:hint="default" w:ascii="宋体" w:hAnsi="宋体" w:eastAsia="宋体"/>
          <w:color w:val="000000"/>
          <w:sz w:val="24"/>
          <w:highlight w:val="none"/>
        </w:rPr>
        <w:t>厂家。</w:t>
      </w:r>
    </w:p>
    <w:p w14:paraId="2D831B8A">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lang w:val="en-US" w:eastAsia="zh-CN"/>
        </w:rPr>
        <w:t>3、</w:t>
      </w:r>
      <w:r>
        <w:rPr>
          <w:rFonts w:hint="default" w:ascii="宋体" w:hAnsi="宋体" w:eastAsia="宋体"/>
          <w:color w:val="000000"/>
          <w:sz w:val="24"/>
          <w:highlight w:val="none"/>
        </w:rPr>
        <w:t>验证与管理</w:t>
      </w:r>
    </w:p>
    <w:p w14:paraId="7131EBA3">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lang w:val="en-US" w:eastAsia="zh-CN"/>
        </w:rPr>
        <w:t>3.1、</w:t>
      </w:r>
      <w:r>
        <w:rPr>
          <w:rFonts w:hint="default" w:ascii="宋体" w:hAnsi="宋体" w:eastAsia="宋体"/>
          <w:color w:val="000000"/>
          <w:sz w:val="24"/>
          <w:highlight w:val="none"/>
        </w:rPr>
        <w:t>备案：中标人须在</w:t>
      </w:r>
      <w:r>
        <w:rPr>
          <w:rFonts w:hint="eastAsia" w:ascii="宋体" w:hAnsi="宋体" w:eastAsia="宋体"/>
          <w:color w:val="000000"/>
          <w:sz w:val="24"/>
          <w:highlight w:val="none"/>
          <w:lang w:val="en-US" w:eastAsia="zh-CN"/>
        </w:rPr>
        <w:t>确定中标</w:t>
      </w:r>
      <w:r>
        <w:rPr>
          <w:rFonts w:hint="default" w:ascii="宋体" w:hAnsi="宋体" w:eastAsia="宋体"/>
          <w:color w:val="000000"/>
          <w:sz w:val="24"/>
          <w:highlight w:val="none"/>
        </w:rPr>
        <w:t>后1日内，将拟定的沥青材料供应商全套资质报招标人书面备案。</w:t>
      </w:r>
    </w:p>
    <w:p w14:paraId="654B3814">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lang w:val="en-US" w:eastAsia="zh-CN"/>
        </w:rPr>
        <w:t>3.2、</w:t>
      </w:r>
      <w:r>
        <w:rPr>
          <w:rFonts w:hint="default" w:ascii="宋体" w:hAnsi="宋体" w:eastAsia="宋体"/>
          <w:color w:val="000000"/>
          <w:sz w:val="24"/>
          <w:highlight w:val="none"/>
        </w:rPr>
        <w:t>验收：每一批次沥青材料进场前，中标人必须提供该批次的出厂合格证及全套检测报告</w:t>
      </w:r>
      <w:r>
        <w:rPr>
          <w:rFonts w:hint="eastAsia" w:ascii="宋体" w:hAnsi="宋体" w:eastAsia="宋体"/>
          <w:color w:val="000000"/>
          <w:sz w:val="24"/>
          <w:highlight w:val="none"/>
          <w:lang w:eastAsia="zh-CN"/>
        </w:rPr>
        <w:t>，</w:t>
      </w:r>
      <w:r>
        <w:rPr>
          <w:rFonts w:hint="default" w:ascii="宋体" w:hAnsi="宋体" w:eastAsia="宋体"/>
          <w:color w:val="000000"/>
          <w:sz w:val="24"/>
          <w:highlight w:val="none"/>
        </w:rPr>
        <w:t>任何不符合本技术要求的材料将被无条件清退，由此造成的损失由中标人承担。</w:t>
      </w:r>
    </w:p>
    <w:p w14:paraId="0590874A">
      <w:pPr>
        <w:spacing w:line="360" w:lineRule="auto"/>
        <w:jc w:val="left"/>
        <w:rPr>
          <w:rFonts w:hint="eastAsia" w:ascii="宋体" w:hAnsi="宋体" w:eastAsia="宋体" w:cs="Times New Roman"/>
          <w:b/>
          <w:bCs/>
          <w:color w:val="000000"/>
          <w:sz w:val="24"/>
          <w:lang w:val="en-US" w:eastAsia="zh-CN"/>
        </w:rPr>
      </w:pPr>
      <w:r>
        <w:rPr>
          <w:rFonts w:hint="eastAsia" w:ascii="宋体" w:hAnsi="宋体" w:eastAsia="宋体" w:cs="Times New Roman"/>
          <w:b/>
          <w:bCs/>
          <w:color w:val="000000"/>
          <w:sz w:val="24"/>
          <w:lang w:val="en-US" w:eastAsia="zh-CN"/>
        </w:rPr>
        <w:t>五、投标人资格要求</w:t>
      </w:r>
    </w:p>
    <w:p w14:paraId="798D2453">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1、资质要求：依法成立，具有法人资格和一般纳税人资格，且具有公路工程施工总承包贰级</w:t>
      </w:r>
      <w:r>
        <w:rPr>
          <w:rFonts w:hint="eastAsia" w:ascii="宋体" w:hAnsi="宋体" w:eastAsia="宋体"/>
          <w:color w:val="000000"/>
          <w:sz w:val="24"/>
          <w:lang w:val="en-US" w:eastAsia="zh-CN"/>
        </w:rPr>
        <w:t>或</w:t>
      </w:r>
      <w:r>
        <w:rPr>
          <w:rFonts w:hint="eastAsia" w:ascii="宋体" w:hAnsi="宋体" w:eastAsia="宋体"/>
          <w:color w:val="000000"/>
          <w:sz w:val="24"/>
          <w:lang w:eastAsia="zh-CN"/>
        </w:rPr>
        <w:t>市政公用工程施工总承包贰级</w:t>
      </w:r>
      <w:r>
        <w:rPr>
          <w:rFonts w:hint="eastAsia" w:ascii="宋体" w:hAnsi="宋体" w:eastAsia="宋体"/>
          <w:color w:val="000000"/>
          <w:sz w:val="24"/>
        </w:rPr>
        <w:t>及以上资质的施工企业，且在人员、设备、资金等方面具有承担本项目的能力和经验。</w:t>
      </w:r>
    </w:p>
    <w:p w14:paraId="43DD733E">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业绩要求：投标人自</w:t>
      </w:r>
      <w:bookmarkStart w:id="5" w:name="_Hlk174949790"/>
      <w:r>
        <w:rPr>
          <w:rFonts w:hint="eastAsia" w:ascii="宋体" w:hAnsi="宋体" w:eastAsia="宋体"/>
          <w:color w:val="000000"/>
          <w:sz w:val="24"/>
        </w:rPr>
        <w:t>2023年1月至</w:t>
      </w:r>
      <w:r>
        <w:rPr>
          <w:rFonts w:ascii="宋体" w:hAnsi="宋体" w:eastAsia="宋体"/>
          <w:color w:val="000000"/>
          <w:sz w:val="24"/>
        </w:rPr>
        <w:t>202</w:t>
      </w:r>
      <w:r>
        <w:rPr>
          <w:rFonts w:hint="eastAsia" w:ascii="宋体" w:hAnsi="宋体" w:eastAsia="宋体"/>
          <w:color w:val="000000"/>
          <w:sz w:val="24"/>
        </w:rPr>
        <w:t>5</w:t>
      </w:r>
      <w:r>
        <w:rPr>
          <w:rFonts w:ascii="宋体" w:hAnsi="宋体" w:eastAsia="宋体"/>
          <w:color w:val="000000"/>
          <w:sz w:val="24"/>
        </w:rPr>
        <w:t>年</w:t>
      </w:r>
      <w:r>
        <w:rPr>
          <w:rFonts w:hint="eastAsia" w:ascii="宋体" w:hAnsi="宋体" w:eastAsia="宋体"/>
          <w:color w:val="000000"/>
          <w:sz w:val="24"/>
        </w:rPr>
        <w:t>12</w:t>
      </w:r>
      <w:r>
        <w:rPr>
          <w:rFonts w:ascii="宋体" w:hAnsi="宋体" w:eastAsia="宋体"/>
          <w:color w:val="000000"/>
          <w:sz w:val="24"/>
        </w:rPr>
        <w:t>月</w:t>
      </w:r>
      <w:bookmarkEnd w:id="5"/>
      <w:r>
        <w:rPr>
          <w:rFonts w:hint="eastAsia" w:ascii="宋体" w:hAnsi="宋体" w:eastAsia="宋体"/>
          <w:color w:val="000000"/>
          <w:sz w:val="24"/>
        </w:rPr>
        <w:t>（3年）</w:t>
      </w:r>
      <w:r>
        <w:rPr>
          <w:rFonts w:ascii="宋体" w:hAnsi="宋体" w:eastAsia="宋体"/>
          <w:color w:val="000000"/>
          <w:sz w:val="24"/>
        </w:rPr>
        <w:t>完成过类似工程</w:t>
      </w:r>
      <w:r>
        <w:rPr>
          <w:rFonts w:hint="eastAsia" w:ascii="宋体" w:hAnsi="宋体" w:eastAsia="宋体"/>
          <w:color w:val="000000"/>
          <w:sz w:val="24"/>
        </w:rPr>
        <w:t>3</w:t>
      </w:r>
      <w:r>
        <w:rPr>
          <w:rFonts w:ascii="宋体" w:hAnsi="宋体" w:eastAsia="宋体"/>
          <w:color w:val="000000"/>
          <w:sz w:val="24"/>
        </w:rPr>
        <w:t>个及以上的施工业绩</w:t>
      </w:r>
      <w:r>
        <w:rPr>
          <w:rFonts w:hint="eastAsia" w:ascii="宋体" w:hAnsi="宋体" w:eastAsia="宋体"/>
          <w:color w:val="000000"/>
          <w:sz w:val="24"/>
        </w:rPr>
        <w:t>（需要提供证明材料）。</w:t>
      </w:r>
    </w:p>
    <w:p w14:paraId="219AF3AF">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3、</w:t>
      </w:r>
      <w:r>
        <w:rPr>
          <w:rFonts w:ascii="宋体" w:hAnsi="宋体" w:eastAsia="宋体"/>
          <w:color w:val="000000"/>
          <w:sz w:val="24"/>
        </w:rPr>
        <w:t>人员要求：项目经理须持有注册</w:t>
      </w:r>
      <w:r>
        <w:rPr>
          <w:rFonts w:hint="eastAsia" w:ascii="宋体" w:hAnsi="宋体" w:eastAsia="宋体"/>
          <w:color w:val="000000"/>
          <w:sz w:val="24"/>
        </w:rPr>
        <w:t>贰</w:t>
      </w:r>
      <w:r>
        <w:rPr>
          <w:rFonts w:ascii="宋体" w:hAnsi="宋体" w:eastAsia="宋体"/>
          <w:color w:val="000000"/>
          <w:sz w:val="24"/>
        </w:rPr>
        <w:t>级及以上建造师证（</w:t>
      </w:r>
      <w:r>
        <w:rPr>
          <w:rFonts w:hint="eastAsia" w:ascii="宋体" w:hAnsi="宋体" w:eastAsia="宋体"/>
          <w:color w:val="000000"/>
          <w:sz w:val="24"/>
        </w:rPr>
        <w:t>公路、市政专业，需</w:t>
      </w:r>
      <w:r>
        <w:rPr>
          <w:rFonts w:ascii="宋体" w:hAnsi="宋体" w:eastAsia="宋体"/>
          <w:color w:val="000000"/>
          <w:sz w:val="24"/>
        </w:rPr>
        <w:t>本单位注册），具有有效的安全生产考核合格证书（B类）；近三年具有类似工程施工管理经验</w:t>
      </w:r>
      <w:r>
        <w:rPr>
          <w:rFonts w:hint="eastAsia" w:ascii="宋体" w:hAnsi="宋体" w:eastAsia="宋体"/>
          <w:color w:val="000000"/>
          <w:sz w:val="24"/>
        </w:rPr>
        <w:t>。</w:t>
      </w:r>
    </w:p>
    <w:p w14:paraId="5083321A">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4、财务要求：财务状况良好，需提供近</w:t>
      </w:r>
      <w:r>
        <w:rPr>
          <w:rFonts w:ascii="宋体" w:hAnsi="宋体" w:eastAsia="宋体"/>
          <w:color w:val="000000"/>
          <w:sz w:val="24"/>
        </w:rPr>
        <w:t>3年度（</w:t>
      </w:r>
      <w:r>
        <w:rPr>
          <w:rFonts w:hint="eastAsia" w:ascii="宋体" w:hAnsi="宋体" w:eastAsia="宋体"/>
          <w:color w:val="000000"/>
          <w:sz w:val="24"/>
        </w:rPr>
        <w:t>2023年、2024年、2025年</w:t>
      </w:r>
      <w:r>
        <w:rPr>
          <w:rFonts w:ascii="宋体" w:hAnsi="宋体" w:eastAsia="宋体"/>
          <w:color w:val="000000"/>
          <w:sz w:val="24"/>
        </w:rPr>
        <w:t>）财务状况表(复印件加盖公章)。</w:t>
      </w:r>
    </w:p>
    <w:p w14:paraId="5425EBC2">
      <w:pPr>
        <w:spacing w:line="360" w:lineRule="auto"/>
        <w:ind w:firstLine="480" w:firstLineChars="200"/>
        <w:rPr>
          <w:rFonts w:hint="eastAsia" w:ascii="宋体" w:hAnsi="宋体" w:eastAsia="宋体"/>
          <w:sz w:val="24"/>
        </w:rPr>
      </w:pPr>
      <w:r>
        <w:rPr>
          <w:rFonts w:hint="eastAsia" w:ascii="宋体" w:hAnsi="宋体" w:eastAsia="宋体"/>
          <w:sz w:val="24"/>
        </w:rPr>
        <w:t>5</w:t>
      </w:r>
      <w:r>
        <w:rPr>
          <w:rFonts w:ascii="宋体" w:hAnsi="宋体" w:eastAsia="宋体"/>
          <w:color w:val="000000"/>
          <w:sz w:val="24"/>
        </w:rPr>
        <w:t>、</w:t>
      </w:r>
      <w:r>
        <w:rPr>
          <w:rFonts w:hint="eastAsia" w:ascii="宋体" w:hAnsi="宋体" w:eastAsia="宋体"/>
          <w:color w:val="000000"/>
          <w:sz w:val="24"/>
        </w:rPr>
        <w:t>信誉要求：</w:t>
      </w:r>
      <w:r>
        <w:rPr>
          <w:rFonts w:ascii="宋体" w:hAnsi="宋体" w:eastAsia="宋体"/>
          <w:color w:val="000000"/>
          <w:sz w:val="24"/>
        </w:rPr>
        <w:t>有依法缴纳税收和社会保障金的良好纪录</w:t>
      </w:r>
      <w:r>
        <w:rPr>
          <w:rFonts w:hint="eastAsia" w:ascii="宋体" w:hAnsi="宋体" w:eastAsia="宋体"/>
          <w:color w:val="000000"/>
          <w:sz w:val="24"/>
        </w:rPr>
        <w:t>，</w:t>
      </w:r>
      <w:r>
        <w:rPr>
          <w:rFonts w:ascii="宋体" w:hAnsi="宋体" w:eastAsia="宋体"/>
          <w:color w:val="000000"/>
          <w:sz w:val="24"/>
        </w:rPr>
        <w:t>在经营活动中没有违法记录</w:t>
      </w:r>
      <w:r>
        <w:rPr>
          <w:rFonts w:hint="eastAsia" w:ascii="宋体" w:hAnsi="宋体" w:eastAsia="宋体"/>
          <w:color w:val="000000"/>
          <w:sz w:val="24"/>
        </w:rPr>
        <w:t>。投标人自</w:t>
      </w:r>
      <w:r>
        <w:rPr>
          <w:rFonts w:ascii="宋体" w:hAnsi="宋体" w:eastAsia="宋体"/>
          <w:color w:val="000000"/>
          <w:sz w:val="24"/>
        </w:rPr>
        <w:t>202</w:t>
      </w:r>
      <w:r>
        <w:rPr>
          <w:rFonts w:hint="eastAsia" w:ascii="宋体" w:hAnsi="宋体" w:eastAsia="宋体"/>
          <w:color w:val="000000"/>
          <w:sz w:val="24"/>
        </w:rPr>
        <w:t>3</w:t>
      </w:r>
      <w:r>
        <w:rPr>
          <w:rFonts w:ascii="宋体" w:hAnsi="宋体" w:eastAsia="宋体"/>
          <w:color w:val="000000"/>
          <w:sz w:val="24"/>
        </w:rPr>
        <w:t>年</w:t>
      </w:r>
      <w:r>
        <w:rPr>
          <w:rFonts w:hint="eastAsia" w:ascii="宋体" w:hAnsi="宋体" w:eastAsia="宋体"/>
          <w:color w:val="000000"/>
          <w:sz w:val="24"/>
        </w:rPr>
        <w:t>1</w:t>
      </w:r>
      <w:r>
        <w:rPr>
          <w:rFonts w:ascii="宋体" w:hAnsi="宋体" w:eastAsia="宋体"/>
          <w:color w:val="000000"/>
          <w:sz w:val="24"/>
        </w:rPr>
        <w:t>月1日至202</w:t>
      </w:r>
      <w:r>
        <w:rPr>
          <w:rFonts w:hint="eastAsia" w:ascii="宋体" w:hAnsi="宋体" w:eastAsia="宋体"/>
          <w:color w:val="000000"/>
          <w:sz w:val="24"/>
        </w:rPr>
        <w:t>5</w:t>
      </w:r>
      <w:r>
        <w:rPr>
          <w:rFonts w:ascii="宋体" w:hAnsi="宋体" w:eastAsia="宋体"/>
          <w:color w:val="000000"/>
          <w:sz w:val="24"/>
        </w:rPr>
        <w:t>年</w:t>
      </w:r>
      <w:r>
        <w:rPr>
          <w:rFonts w:hint="eastAsia" w:ascii="宋体" w:hAnsi="宋体" w:eastAsia="宋体"/>
          <w:color w:val="000000"/>
          <w:sz w:val="24"/>
        </w:rPr>
        <w:t>12</w:t>
      </w:r>
      <w:r>
        <w:rPr>
          <w:rFonts w:ascii="宋体" w:hAnsi="宋体" w:eastAsia="宋体"/>
          <w:color w:val="000000"/>
          <w:sz w:val="24"/>
        </w:rPr>
        <w:t>月</w:t>
      </w:r>
      <w:r>
        <w:rPr>
          <w:rFonts w:hint="eastAsia" w:ascii="宋体" w:hAnsi="宋体" w:eastAsia="宋体"/>
          <w:color w:val="000000"/>
          <w:sz w:val="24"/>
        </w:rPr>
        <w:t>3</w:t>
      </w:r>
      <w:r>
        <w:rPr>
          <w:rFonts w:ascii="宋体" w:hAnsi="宋体" w:eastAsia="宋体"/>
          <w:color w:val="000000"/>
          <w:sz w:val="24"/>
        </w:rPr>
        <w:t>1日止（3年）投标人社会信誉自查承诺（盖公司公章）</w:t>
      </w:r>
      <w:r>
        <w:rPr>
          <w:rFonts w:hint="eastAsia" w:ascii="宋体" w:hAnsi="宋体" w:eastAsia="宋体"/>
          <w:color w:val="000000"/>
          <w:sz w:val="24"/>
        </w:rPr>
        <w:t>，</w:t>
      </w:r>
      <w:r>
        <w:rPr>
          <w:rFonts w:ascii="宋体" w:hAnsi="宋体" w:eastAsia="宋体"/>
          <w:color w:val="000000"/>
          <w:sz w:val="24"/>
        </w:rPr>
        <w:t>投标人在报名时需提供当日"信用中国"网站（www.creditchina.gov.cn）查询本单位是否为失信被执行人的网页截图</w:t>
      </w:r>
      <w:r>
        <w:rPr>
          <w:rFonts w:hint="eastAsia" w:ascii="宋体" w:hAnsi="宋体" w:eastAsia="宋体"/>
          <w:color w:val="000000"/>
          <w:sz w:val="24"/>
        </w:rPr>
        <w:t>。</w:t>
      </w:r>
    </w:p>
    <w:p w14:paraId="4DD242EC">
      <w:pPr>
        <w:spacing w:line="360" w:lineRule="auto"/>
        <w:ind w:firstLine="480" w:firstLineChars="200"/>
        <w:rPr>
          <w:rFonts w:hint="eastAsia" w:ascii="宋体" w:hAnsi="宋体" w:eastAsia="宋体"/>
          <w:color w:val="000000"/>
          <w:sz w:val="24"/>
        </w:rPr>
      </w:pPr>
      <w:r>
        <w:rPr>
          <w:rFonts w:ascii="宋体" w:hAnsi="宋体" w:eastAsia="宋体"/>
          <w:color w:val="000000"/>
          <w:sz w:val="24"/>
        </w:rPr>
        <w:t>6、请各投标单位在公告结束时间前将资质文件、同类业绩原件（以投标人签订合同或中标通知书等证明材料日期为准）1份上传到网上报名中的上传资料中</w:t>
      </w:r>
      <w:r>
        <w:rPr>
          <w:rFonts w:hint="eastAsia" w:ascii="宋体" w:hAnsi="宋体" w:eastAsia="宋体"/>
          <w:color w:val="000000"/>
          <w:sz w:val="24"/>
        </w:rPr>
        <w:t>。</w:t>
      </w:r>
    </w:p>
    <w:p w14:paraId="165E4296">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凡有意参加投标者，请</w:t>
      </w:r>
      <w:r>
        <w:rPr>
          <w:rFonts w:hint="eastAsia" w:ascii="宋体" w:hAnsi="宋体" w:eastAsia="宋体"/>
          <w:color w:val="000000"/>
          <w:sz w:val="24"/>
          <w:highlight w:val="none"/>
        </w:rPr>
        <w:t>于</w:t>
      </w:r>
      <w:r>
        <w:rPr>
          <w:rFonts w:hint="eastAsia" w:ascii="宋体" w:hAnsi="宋体" w:eastAsia="宋体"/>
          <w:color w:val="000000"/>
          <w:sz w:val="24"/>
          <w:highlight w:val="none"/>
          <w:lang w:val="en-US" w:eastAsia="zh-CN"/>
        </w:rPr>
        <w:t>2026</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29</w:t>
      </w:r>
      <w:r>
        <w:rPr>
          <w:rFonts w:ascii="宋体" w:hAnsi="宋体" w:eastAsia="宋体"/>
          <w:color w:val="000000"/>
          <w:sz w:val="24"/>
          <w:highlight w:val="none"/>
        </w:rPr>
        <w:t>日</w:t>
      </w:r>
      <w:r>
        <w:rPr>
          <w:rFonts w:hint="eastAsia" w:ascii="宋体" w:hAnsi="宋体" w:eastAsia="宋体"/>
          <w:color w:val="000000"/>
          <w:sz w:val="24"/>
          <w:highlight w:val="none"/>
        </w:rPr>
        <w:t>上午</w:t>
      </w:r>
      <w:r>
        <w:rPr>
          <w:rFonts w:hint="eastAsia" w:ascii="宋体" w:hAnsi="宋体" w:eastAsia="宋体"/>
          <w:color w:val="000000"/>
          <w:sz w:val="24"/>
          <w:highlight w:val="none"/>
          <w:lang w:val="en-US" w:eastAsia="zh-CN"/>
        </w:rPr>
        <w:t>9</w:t>
      </w:r>
      <w:r>
        <w:rPr>
          <w:rFonts w:ascii="宋体" w:hAnsi="宋体" w:eastAsia="宋体"/>
          <w:color w:val="000000"/>
          <w:sz w:val="24"/>
          <w:highlight w:val="none"/>
        </w:rPr>
        <w:t>时前将</w:t>
      </w:r>
      <w:r>
        <w:rPr>
          <w:rFonts w:ascii="宋体" w:hAnsi="宋体" w:eastAsia="宋体"/>
          <w:color w:val="000000"/>
          <w:sz w:val="24"/>
        </w:rPr>
        <w:t>以下资料原件扫描件(要求图片清晰可辨)制作为PDF文档上传至系统：（1）企业法人营业执照副本；（2）资质证书副本；（3）安全生产许可证；（4）项目经理注册建造师证、安全生产考核合格证书（B类）；（</w:t>
      </w:r>
      <w:r>
        <w:rPr>
          <w:rFonts w:hint="eastAsia" w:ascii="宋体" w:hAnsi="宋体" w:eastAsia="宋体"/>
          <w:color w:val="000000"/>
          <w:sz w:val="24"/>
        </w:rPr>
        <w:t>5</w:t>
      </w:r>
      <w:r>
        <w:rPr>
          <w:rFonts w:ascii="宋体" w:hAnsi="宋体" w:eastAsia="宋体"/>
          <w:color w:val="000000"/>
          <w:sz w:val="24"/>
        </w:rPr>
        <w:t>）近三年的财务状况表；（</w:t>
      </w:r>
      <w:r>
        <w:rPr>
          <w:rFonts w:hint="eastAsia" w:ascii="宋体" w:hAnsi="宋体" w:eastAsia="宋体"/>
          <w:color w:val="000000"/>
          <w:sz w:val="24"/>
        </w:rPr>
        <w:t>6</w:t>
      </w:r>
      <w:r>
        <w:rPr>
          <w:rFonts w:ascii="宋体" w:hAnsi="宋体" w:eastAsia="宋体"/>
          <w:color w:val="000000"/>
          <w:sz w:val="24"/>
        </w:rPr>
        <w:t>）企业业绩合同和竣工验收证明；（</w:t>
      </w:r>
      <w:r>
        <w:rPr>
          <w:rFonts w:hint="eastAsia" w:ascii="宋体" w:hAnsi="宋体" w:eastAsia="宋体"/>
          <w:color w:val="000000"/>
          <w:sz w:val="24"/>
        </w:rPr>
        <w:t>7</w:t>
      </w:r>
      <w:r>
        <w:rPr>
          <w:rFonts w:ascii="宋体" w:hAnsi="宋体" w:eastAsia="宋体"/>
          <w:color w:val="000000"/>
          <w:sz w:val="24"/>
        </w:rPr>
        <w:t>）企业信誉自查承诺（加盖公章）；（</w:t>
      </w:r>
      <w:r>
        <w:rPr>
          <w:rFonts w:hint="eastAsia" w:ascii="宋体" w:hAnsi="宋体" w:eastAsia="宋体"/>
          <w:color w:val="000000"/>
          <w:sz w:val="24"/>
        </w:rPr>
        <w:t>8</w:t>
      </w:r>
      <w:r>
        <w:rPr>
          <w:rFonts w:ascii="宋体" w:hAnsi="宋体" w:eastAsia="宋体"/>
          <w:color w:val="000000"/>
          <w:sz w:val="24"/>
        </w:rPr>
        <w:t>）信用查询记录截图；（</w:t>
      </w:r>
      <w:r>
        <w:rPr>
          <w:rFonts w:hint="eastAsia" w:ascii="宋体" w:hAnsi="宋体" w:eastAsia="宋体"/>
          <w:color w:val="000000"/>
          <w:sz w:val="24"/>
        </w:rPr>
        <w:t>9</w:t>
      </w:r>
      <w:r>
        <w:rPr>
          <w:rFonts w:ascii="宋体" w:hAnsi="宋体" w:eastAsia="宋体"/>
          <w:color w:val="000000"/>
          <w:sz w:val="24"/>
        </w:rPr>
        <w:t>）企业基本账户开户许可证；（1</w:t>
      </w:r>
      <w:r>
        <w:rPr>
          <w:rFonts w:hint="eastAsia" w:ascii="宋体" w:hAnsi="宋体" w:eastAsia="宋体"/>
          <w:color w:val="000000"/>
          <w:sz w:val="24"/>
        </w:rPr>
        <w:t>0</w:t>
      </w:r>
      <w:r>
        <w:rPr>
          <w:rFonts w:ascii="宋体" w:hAnsi="宋体" w:eastAsia="宋体"/>
          <w:color w:val="000000"/>
          <w:sz w:val="24"/>
        </w:rPr>
        <w:t>）企业法人授权委托书及</w:t>
      </w:r>
      <w:r>
        <w:rPr>
          <w:rFonts w:hint="eastAsia" w:ascii="宋体" w:hAnsi="宋体" w:eastAsia="宋体"/>
          <w:color w:val="000000"/>
          <w:sz w:val="24"/>
        </w:rPr>
        <w:t>授权代表身份证。</w:t>
      </w:r>
    </w:p>
    <w:p w14:paraId="392D28B8">
      <w:pPr>
        <w:spacing w:line="360" w:lineRule="auto"/>
        <w:ind w:firstLine="480" w:firstLineChars="200"/>
        <w:rPr>
          <w:rFonts w:hint="eastAsia" w:ascii="宋体" w:hAnsi="宋体" w:eastAsia="宋体"/>
          <w:color w:val="000000"/>
          <w:sz w:val="24"/>
        </w:rPr>
      </w:pPr>
      <w:r>
        <w:rPr>
          <w:rFonts w:ascii="宋体" w:hAnsi="宋体" w:eastAsia="宋体"/>
          <w:color w:val="000000"/>
          <w:sz w:val="24"/>
        </w:rPr>
        <w:t>7、如有单位资料造假，一经发现，立即在网上公示，并永久取消投标资格。</w:t>
      </w:r>
    </w:p>
    <w:p w14:paraId="147FE57A">
      <w:pPr>
        <w:spacing w:line="360" w:lineRule="auto"/>
        <w:ind w:firstLine="480" w:firstLineChars="200"/>
        <w:rPr>
          <w:rFonts w:hint="eastAsia" w:ascii="宋体" w:hAnsi="宋体" w:eastAsia="宋体"/>
          <w:color w:val="000000"/>
          <w:sz w:val="24"/>
        </w:rPr>
      </w:pPr>
      <w:r>
        <w:rPr>
          <w:rFonts w:ascii="宋体" w:hAnsi="宋体" w:eastAsia="宋体"/>
          <w:color w:val="000000"/>
          <w:sz w:val="24"/>
        </w:rPr>
        <w:t>8、不接受联合体投标。</w:t>
      </w:r>
    </w:p>
    <w:p w14:paraId="09932981">
      <w:pPr>
        <w:spacing w:line="360" w:lineRule="auto"/>
        <w:jc w:val="left"/>
        <w:rPr>
          <w:rFonts w:hint="eastAsia" w:ascii="宋体" w:hAnsi="宋体" w:eastAsia="宋体"/>
          <w:b/>
          <w:bCs/>
          <w:color w:val="000000"/>
          <w:sz w:val="24"/>
        </w:rPr>
      </w:pPr>
      <w:r>
        <w:rPr>
          <w:rFonts w:hint="eastAsia" w:ascii="宋体" w:hAnsi="宋体" w:eastAsia="宋体"/>
          <w:b/>
          <w:bCs/>
          <w:color w:val="000000"/>
          <w:sz w:val="24"/>
          <w:lang w:val="en-US" w:eastAsia="zh-CN"/>
        </w:rPr>
        <w:t>六</w:t>
      </w:r>
      <w:r>
        <w:rPr>
          <w:rFonts w:ascii="宋体" w:hAnsi="宋体" w:eastAsia="宋体"/>
          <w:b/>
          <w:bCs/>
          <w:color w:val="000000"/>
          <w:sz w:val="24"/>
        </w:rPr>
        <w:t>、公告和报名</w:t>
      </w:r>
    </w:p>
    <w:p w14:paraId="6DABE578">
      <w:pPr>
        <w:spacing w:line="360" w:lineRule="auto"/>
        <w:ind w:firstLine="480" w:firstLineChars="200"/>
        <w:rPr>
          <w:rFonts w:hint="eastAsia" w:ascii="宋体" w:hAnsi="宋体" w:eastAsia="宋体"/>
          <w:color w:val="000000"/>
          <w:sz w:val="24"/>
        </w:rPr>
      </w:pPr>
      <w:r>
        <w:rPr>
          <w:rFonts w:ascii="宋体" w:hAnsi="宋体" w:eastAsia="宋体"/>
          <w:color w:val="000000"/>
          <w:sz w:val="24"/>
        </w:rPr>
        <w:t>1、报名方式：</w:t>
      </w:r>
      <w:r>
        <w:rPr>
          <w:rFonts w:hint="eastAsia" w:ascii="宋体" w:hAnsi="宋体" w:eastAsia="宋体"/>
          <w:color w:val="000000"/>
          <w:sz w:val="24"/>
        </w:rPr>
        <w:t>通过登录济钢集团有限公司阳光购销平台网上报名(不接受线下报名)，平台网址：</w:t>
      </w:r>
      <w:r>
        <w:rPr>
          <w:rFonts w:hint="eastAsia"/>
        </w:rPr>
        <w:fldChar w:fldCharType="begin"/>
      </w:r>
      <w:r>
        <w:instrText xml:space="preserve"> HYPERLINK "http://bidding.jigang.com.cn" </w:instrText>
      </w:r>
      <w:r>
        <w:rPr>
          <w:rFonts w:hint="eastAsia"/>
        </w:rPr>
        <w:fldChar w:fldCharType="separate"/>
      </w:r>
      <w:r>
        <w:rPr>
          <w:rFonts w:hint="eastAsia" w:ascii="宋体" w:hAnsi="宋体" w:eastAsia="宋体"/>
          <w:color w:val="000000"/>
          <w:sz w:val="24"/>
        </w:rPr>
        <w:t>http://bidding.jigang.com.cn</w:t>
      </w:r>
      <w:r>
        <w:rPr>
          <w:rFonts w:hint="eastAsia" w:ascii="宋体" w:hAnsi="宋体" w:eastAsia="宋体"/>
          <w:color w:val="000000"/>
          <w:sz w:val="24"/>
        </w:rPr>
        <w:fldChar w:fldCharType="end"/>
      </w:r>
      <w:r>
        <w:rPr>
          <w:rFonts w:hint="eastAsia" w:ascii="宋体" w:hAnsi="宋体" w:eastAsia="宋体"/>
          <w:color w:val="000000"/>
          <w:sz w:val="24"/>
        </w:rPr>
        <w:t>/；</w:t>
      </w:r>
    </w:p>
    <w:p w14:paraId="768F21DB">
      <w:pPr>
        <w:spacing w:line="360" w:lineRule="auto"/>
        <w:ind w:firstLine="480" w:firstLineChars="200"/>
        <w:rPr>
          <w:rFonts w:hint="eastAsia" w:ascii="宋体" w:hAnsi="宋体" w:eastAsia="宋体"/>
          <w:color w:val="000000"/>
          <w:sz w:val="24"/>
        </w:rPr>
      </w:pPr>
      <w:r>
        <w:rPr>
          <w:rFonts w:ascii="宋体" w:hAnsi="宋体" w:eastAsia="宋体"/>
          <w:color w:val="000000"/>
          <w:sz w:val="24"/>
        </w:rPr>
        <w:t>2、公告和报名时间：</w:t>
      </w:r>
      <w:r>
        <w:rPr>
          <w:rFonts w:hint="eastAsia" w:ascii="宋体" w:hAnsi="宋体" w:eastAsia="宋体"/>
          <w:color w:val="000000"/>
          <w:sz w:val="24"/>
          <w:lang w:val="en-US" w:eastAsia="zh-CN"/>
        </w:rPr>
        <w:t>202</w:t>
      </w:r>
      <w:r>
        <w:rPr>
          <w:rFonts w:hint="eastAsia" w:ascii="宋体" w:hAnsi="宋体" w:eastAsia="宋体"/>
          <w:color w:val="000000"/>
          <w:sz w:val="24"/>
          <w:highlight w:val="none"/>
          <w:lang w:val="en-US" w:eastAsia="zh-CN"/>
        </w:rPr>
        <w:t>6</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21</w:t>
      </w:r>
      <w:r>
        <w:rPr>
          <w:rFonts w:ascii="宋体" w:hAnsi="宋体" w:eastAsia="宋体"/>
          <w:color w:val="000000"/>
          <w:sz w:val="24"/>
          <w:highlight w:val="none"/>
        </w:rPr>
        <w:t>日～</w:t>
      </w:r>
      <w:r>
        <w:rPr>
          <w:rFonts w:hint="eastAsia" w:ascii="宋体" w:hAnsi="宋体" w:eastAsia="宋体"/>
          <w:color w:val="000000"/>
          <w:sz w:val="24"/>
          <w:highlight w:val="none"/>
          <w:lang w:val="en-US" w:eastAsia="zh-CN"/>
        </w:rPr>
        <w:t>2026</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26</w:t>
      </w:r>
      <w:r>
        <w:rPr>
          <w:rFonts w:ascii="宋体" w:hAnsi="宋体" w:eastAsia="宋体"/>
          <w:color w:val="000000"/>
          <w:sz w:val="24"/>
          <w:highlight w:val="none"/>
        </w:rPr>
        <w:t>日</w:t>
      </w:r>
      <w:r>
        <w:rPr>
          <w:rFonts w:ascii="宋体" w:hAnsi="宋体" w:eastAsia="宋体"/>
          <w:color w:val="000000"/>
          <w:sz w:val="24"/>
        </w:rPr>
        <w:t>（北京时间）。</w:t>
      </w:r>
    </w:p>
    <w:p w14:paraId="6C12B2BC">
      <w:pPr>
        <w:spacing w:line="360" w:lineRule="auto"/>
        <w:jc w:val="left"/>
        <w:rPr>
          <w:rFonts w:hint="eastAsia" w:ascii="宋体" w:hAnsi="宋体" w:eastAsia="宋体"/>
          <w:b/>
          <w:bCs/>
          <w:color w:val="000000"/>
          <w:sz w:val="24"/>
        </w:rPr>
      </w:pPr>
      <w:r>
        <w:rPr>
          <w:rFonts w:hint="eastAsia" w:ascii="宋体" w:hAnsi="宋体" w:eastAsia="宋体"/>
          <w:b/>
          <w:bCs/>
          <w:color w:val="000000"/>
          <w:sz w:val="24"/>
          <w:lang w:val="en-US" w:eastAsia="zh-CN"/>
        </w:rPr>
        <w:t>七</w:t>
      </w:r>
      <w:r>
        <w:rPr>
          <w:rFonts w:ascii="宋体" w:hAnsi="宋体" w:eastAsia="宋体"/>
          <w:b/>
          <w:bCs/>
          <w:color w:val="000000"/>
          <w:sz w:val="24"/>
        </w:rPr>
        <w:t>、资格审查方式：资格后审</w:t>
      </w:r>
    </w:p>
    <w:p w14:paraId="245FD0F5">
      <w:pPr>
        <w:spacing w:line="360" w:lineRule="auto"/>
        <w:ind w:firstLine="480" w:firstLineChars="200"/>
        <w:rPr>
          <w:rFonts w:hint="eastAsia" w:ascii="宋体" w:hAnsi="宋体" w:eastAsia="宋体"/>
          <w:color w:val="000000"/>
          <w:sz w:val="24"/>
        </w:rPr>
      </w:pPr>
      <w:r>
        <w:rPr>
          <w:rFonts w:ascii="宋体" w:hAnsi="宋体" w:eastAsia="宋体"/>
          <w:color w:val="000000"/>
          <w:sz w:val="24"/>
        </w:rPr>
        <w:t>开标后，评标委员会对投标单位的资质文件进行评审。评审合格的进入下一阶段评审；评审不合格的按废标处理，投标文件将被退回。</w:t>
      </w:r>
    </w:p>
    <w:p w14:paraId="0AE007D2">
      <w:pPr>
        <w:spacing w:line="360" w:lineRule="auto"/>
        <w:jc w:val="left"/>
        <w:rPr>
          <w:rFonts w:hint="eastAsia" w:ascii="宋体" w:hAnsi="宋体" w:eastAsia="宋体"/>
          <w:color w:val="000000"/>
          <w:sz w:val="24"/>
        </w:rPr>
      </w:pPr>
      <w:r>
        <w:rPr>
          <w:rFonts w:hint="eastAsia" w:ascii="宋体" w:hAnsi="宋体" w:eastAsia="宋体"/>
          <w:b/>
          <w:bCs/>
          <w:color w:val="000000"/>
          <w:sz w:val="24"/>
          <w:lang w:val="en-US" w:eastAsia="zh-CN"/>
        </w:rPr>
        <w:t>八</w:t>
      </w:r>
      <w:r>
        <w:rPr>
          <w:rFonts w:ascii="宋体" w:hAnsi="宋体" w:eastAsia="宋体"/>
          <w:b/>
          <w:bCs/>
          <w:color w:val="000000"/>
          <w:sz w:val="24"/>
        </w:rPr>
        <w:t>、投标保证金：</w:t>
      </w:r>
      <w:r>
        <w:rPr>
          <w:rFonts w:hint="eastAsia" w:ascii="宋体" w:hAnsi="宋体" w:eastAsia="宋体"/>
          <w:b/>
          <w:bCs/>
          <w:color w:val="000000"/>
          <w:sz w:val="24"/>
        </w:rPr>
        <w:t>贰</w:t>
      </w:r>
      <w:r>
        <w:rPr>
          <w:rFonts w:ascii="宋体" w:hAnsi="宋体" w:eastAsia="宋体"/>
          <w:b/>
          <w:bCs/>
          <w:color w:val="000000"/>
          <w:sz w:val="24"/>
        </w:rPr>
        <w:t>万元</w:t>
      </w:r>
      <w:r>
        <w:rPr>
          <w:rFonts w:hint="eastAsia" w:ascii="宋体" w:hAnsi="宋体" w:eastAsia="宋体" w:cs="宋体"/>
          <w:sz w:val="24"/>
        </w:rPr>
        <w:t>（汇款时备注投标名称）</w:t>
      </w:r>
    </w:p>
    <w:p w14:paraId="4F98BB56">
      <w:pPr>
        <w:spacing w:line="360" w:lineRule="auto"/>
        <w:ind w:firstLine="480" w:firstLineChars="200"/>
        <w:rPr>
          <w:rFonts w:hint="eastAsia" w:ascii="宋体" w:hAnsi="宋体" w:eastAsia="宋体"/>
          <w:color w:val="000000"/>
          <w:sz w:val="24"/>
        </w:rPr>
      </w:pPr>
      <w:r>
        <w:rPr>
          <w:rFonts w:ascii="宋体" w:hAnsi="宋体" w:eastAsia="宋体"/>
          <w:color w:val="000000"/>
          <w:sz w:val="24"/>
        </w:rPr>
        <w:t>1、投标保证金最后缴纳日期：</w:t>
      </w:r>
      <w:r>
        <w:rPr>
          <w:rFonts w:hint="eastAsia" w:ascii="宋体" w:hAnsi="宋体" w:eastAsia="宋体"/>
          <w:color w:val="000000"/>
          <w:sz w:val="24"/>
          <w:highlight w:val="none"/>
          <w:lang w:val="en-US" w:eastAsia="zh-CN"/>
        </w:rPr>
        <w:t>2026</w:t>
      </w:r>
      <w:r>
        <w:rPr>
          <w:rFonts w:ascii="宋体" w:hAnsi="宋体" w:eastAsia="宋体"/>
          <w:sz w:val="24"/>
          <w:highlight w:val="none"/>
        </w:rPr>
        <w:t>年</w:t>
      </w:r>
      <w:r>
        <w:rPr>
          <w:rFonts w:hint="eastAsia" w:ascii="宋体" w:hAnsi="宋体" w:eastAsia="宋体"/>
          <w:sz w:val="24"/>
          <w:highlight w:val="none"/>
          <w:lang w:val="en-US" w:eastAsia="zh-CN"/>
        </w:rPr>
        <w:t>1</w:t>
      </w:r>
      <w:r>
        <w:rPr>
          <w:rFonts w:ascii="宋体" w:hAnsi="宋体" w:eastAsia="宋体"/>
          <w:sz w:val="24"/>
          <w:highlight w:val="none"/>
        </w:rPr>
        <w:t>月</w:t>
      </w:r>
      <w:r>
        <w:rPr>
          <w:rFonts w:hint="eastAsia" w:ascii="宋体" w:hAnsi="宋体" w:eastAsia="宋体"/>
          <w:sz w:val="24"/>
          <w:highlight w:val="none"/>
          <w:lang w:val="en-US" w:eastAsia="zh-CN"/>
        </w:rPr>
        <w:t>27</w:t>
      </w:r>
      <w:r>
        <w:rPr>
          <w:rFonts w:ascii="宋体" w:hAnsi="宋体" w:eastAsia="宋体"/>
          <w:sz w:val="24"/>
          <w:highlight w:val="none"/>
        </w:rPr>
        <w:t>日</w:t>
      </w:r>
      <w:r>
        <w:rPr>
          <w:rFonts w:hint="eastAsia" w:ascii="宋体" w:hAnsi="宋体" w:eastAsia="宋体"/>
          <w:sz w:val="24"/>
          <w:highlight w:val="none"/>
          <w:lang w:val="en-US" w:eastAsia="zh-CN"/>
        </w:rPr>
        <w:t>14</w:t>
      </w:r>
      <w:r>
        <w:rPr>
          <w:rFonts w:hint="eastAsia" w:ascii="宋体" w:hAnsi="宋体" w:eastAsia="宋体"/>
          <w:sz w:val="24"/>
          <w:highlight w:val="none"/>
        </w:rPr>
        <w:t>时</w:t>
      </w:r>
      <w:r>
        <w:rPr>
          <w:rFonts w:ascii="宋体" w:hAnsi="宋体" w:eastAsia="宋体"/>
          <w:sz w:val="24"/>
          <w:highlight w:val="none"/>
        </w:rPr>
        <w:t>。</w:t>
      </w:r>
      <w:r>
        <w:rPr>
          <w:rFonts w:ascii="宋体" w:hAnsi="宋体" w:eastAsia="宋体"/>
          <w:color w:val="000000"/>
          <w:sz w:val="24"/>
        </w:rPr>
        <w:t>逾期缴纳的，投标将被拒绝。</w:t>
      </w:r>
    </w:p>
    <w:p w14:paraId="3157A6FD">
      <w:pPr>
        <w:spacing w:line="360" w:lineRule="auto"/>
        <w:ind w:firstLine="480" w:firstLineChars="200"/>
        <w:rPr>
          <w:rFonts w:hint="eastAsia" w:ascii="宋体" w:hAnsi="宋体" w:eastAsia="宋体"/>
          <w:color w:val="000000"/>
          <w:sz w:val="24"/>
        </w:rPr>
      </w:pPr>
      <w:r>
        <w:rPr>
          <w:rFonts w:ascii="宋体" w:hAnsi="宋体" w:eastAsia="宋体"/>
          <w:color w:val="000000"/>
          <w:sz w:val="24"/>
        </w:rPr>
        <w:t>2、投标保证金应从投标人银行基本账户内转出或汇出，为方便退还不出具收据。交款注明招标编号及款项性质（投标保证金），并将回单及时上传至业绩附件中。</w:t>
      </w:r>
    </w:p>
    <w:p w14:paraId="0AADFC19">
      <w:pPr>
        <w:spacing w:line="360" w:lineRule="auto"/>
        <w:ind w:firstLine="480" w:firstLineChars="200"/>
        <w:rPr>
          <w:rFonts w:hint="eastAsia" w:ascii="宋体" w:hAnsi="宋体" w:eastAsia="宋体"/>
          <w:color w:val="000000"/>
          <w:sz w:val="24"/>
        </w:rPr>
      </w:pPr>
      <w:r>
        <w:rPr>
          <w:rFonts w:ascii="宋体" w:hAnsi="宋体" w:eastAsia="宋体"/>
          <w:color w:val="000000"/>
          <w:sz w:val="24"/>
        </w:rPr>
        <w:t>3、缴纳投标保证金账户信息：</w:t>
      </w:r>
    </w:p>
    <w:p w14:paraId="7FA06E97">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收款账户：济南黄河爆破工程有限责任公司</w:t>
      </w:r>
    </w:p>
    <w:p w14:paraId="0CEDE63F">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开户行：中国工商银行济南东郊支行</w:t>
      </w:r>
    </w:p>
    <w:p w14:paraId="29F9D281">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银行账户：1602003419201075070</w:t>
      </w:r>
    </w:p>
    <w:p w14:paraId="0BBF64DB">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行号：102451000344</w:t>
      </w:r>
    </w:p>
    <w:p w14:paraId="7E01EACE">
      <w:pPr>
        <w:spacing w:line="360" w:lineRule="auto"/>
        <w:ind w:firstLine="480" w:firstLineChars="200"/>
        <w:rPr>
          <w:rFonts w:hint="eastAsia" w:ascii="宋体" w:hAnsi="宋体" w:eastAsia="宋体"/>
          <w:color w:val="000000"/>
          <w:sz w:val="24"/>
        </w:rPr>
      </w:pPr>
      <w:r>
        <w:rPr>
          <w:rFonts w:ascii="宋体" w:hAnsi="宋体" w:eastAsia="宋体"/>
          <w:color w:val="000000"/>
          <w:sz w:val="24"/>
        </w:rPr>
        <w:t>4、投标保证金在合同签订后</w:t>
      </w:r>
      <w:r>
        <w:rPr>
          <w:rFonts w:hint="eastAsia" w:ascii="宋体" w:hAnsi="宋体" w:eastAsia="宋体"/>
          <w:color w:val="000000"/>
          <w:sz w:val="24"/>
        </w:rPr>
        <w:t>30</w:t>
      </w:r>
      <w:r>
        <w:rPr>
          <w:rFonts w:ascii="宋体" w:hAnsi="宋体" w:eastAsia="宋体"/>
          <w:color w:val="000000"/>
          <w:sz w:val="24"/>
        </w:rPr>
        <w:t>日内原账户无息退还。</w:t>
      </w:r>
    </w:p>
    <w:p w14:paraId="2A99DBF2">
      <w:pPr>
        <w:spacing w:line="360" w:lineRule="auto"/>
        <w:ind w:firstLine="480" w:firstLineChars="200"/>
        <w:rPr>
          <w:rFonts w:hint="eastAsia" w:ascii="宋体" w:hAnsi="宋体" w:eastAsia="宋体"/>
          <w:color w:val="000000"/>
          <w:sz w:val="24"/>
        </w:rPr>
      </w:pPr>
      <w:r>
        <w:rPr>
          <w:rFonts w:ascii="宋体" w:hAnsi="宋体" w:eastAsia="宋体"/>
          <w:color w:val="000000"/>
          <w:sz w:val="24"/>
        </w:rPr>
        <w:t>5、在递交投标文件时，携带投标保证金交款回单原件及复印件，以备查验。</w:t>
      </w:r>
    </w:p>
    <w:p w14:paraId="4DFD679B">
      <w:pPr>
        <w:spacing w:line="360" w:lineRule="auto"/>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lang w:val="en-US" w:eastAsia="zh-CN"/>
        </w:rPr>
        <w:t>九</w:t>
      </w:r>
      <w:r>
        <w:rPr>
          <w:rFonts w:hint="eastAsia" w:ascii="宋体" w:hAnsi="宋体" w:eastAsia="宋体"/>
          <w:b/>
          <w:bCs/>
          <w:color w:val="000000"/>
          <w:sz w:val="24"/>
          <w:highlight w:val="none"/>
        </w:rPr>
        <w:t>、合同履约保证金（人民币）：</w:t>
      </w:r>
    </w:p>
    <w:p w14:paraId="4FC4D264">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lang w:val="en-US" w:eastAsia="zh-CN"/>
        </w:rPr>
        <w:t>陆万</w:t>
      </w:r>
      <w:r>
        <w:rPr>
          <w:rFonts w:hint="eastAsia" w:ascii="宋体" w:hAnsi="宋体" w:eastAsia="宋体"/>
          <w:color w:val="000000"/>
          <w:sz w:val="24"/>
          <w:highlight w:val="none"/>
        </w:rPr>
        <w:t>元整（￥</w:t>
      </w:r>
      <w:r>
        <w:rPr>
          <w:rFonts w:hint="eastAsia" w:ascii="宋体" w:hAnsi="宋体" w:eastAsia="宋体"/>
          <w:color w:val="000000"/>
          <w:sz w:val="24"/>
          <w:highlight w:val="none"/>
          <w:lang w:val="en-US" w:eastAsia="zh-CN"/>
        </w:rPr>
        <w:t>6</w:t>
      </w:r>
      <w:r>
        <w:rPr>
          <w:rFonts w:hint="eastAsia" w:ascii="宋体" w:hAnsi="宋体" w:eastAsia="宋体"/>
          <w:color w:val="000000"/>
          <w:sz w:val="24"/>
          <w:highlight w:val="none"/>
        </w:rPr>
        <w:t>0000元），招标人通知中标人</w:t>
      </w:r>
      <w:r>
        <w:rPr>
          <w:rFonts w:hint="eastAsia" w:ascii="宋体" w:hAnsi="宋体" w:eastAsia="宋体"/>
          <w:color w:val="000000"/>
          <w:sz w:val="24"/>
          <w:highlight w:val="none"/>
          <w:lang w:val="en-US" w:eastAsia="zh-CN"/>
        </w:rPr>
        <w:t>签订合同前</w:t>
      </w:r>
      <w:r>
        <w:rPr>
          <w:rFonts w:hint="eastAsia" w:ascii="宋体" w:hAnsi="宋体" w:eastAsia="宋体"/>
          <w:color w:val="000000"/>
          <w:sz w:val="24"/>
          <w:highlight w:val="none"/>
        </w:rPr>
        <w:t>3日内将合同履约保证金电汇到招标人账户，逾期交纳的视为放弃本中标。</w:t>
      </w:r>
    </w:p>
    <w:p w14:paraId="36943058">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rPr>
        <w:t>收款账户：济南黄河爆破工程有限责任公司</w:t>
      </w:r>
    </w:p>
    <w:p w14:paraId="12C9F48E">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rPr>
        <w:t>开户行：中国工商银行济南东郊支行</w:t>
      </w:r>
    </w:p>
    <w:p w14:paraId="5AD3A087">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rPr>
        <w:t>银行账户：1602003419201075070</w:t>
      </w:r>
    </w:p>
    <w:p w14:paraId="7EB93824">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rPr>
        <w:t>行号：102451000344</w:t>
      </w:r>
    </w:p>
    <w:p w14:paraId="3E2B6562">
      <w:pPr>
        <w:spacing w:line="360" w:lineRule="auto"/>
        <w:ind w:firstLine="480" w:firstLineChars="200"/>
        <w:rPr>
          <w:rFonts w:hint="eastAsia" w:ascii="宋体" w:hAnsi="宋体" w:eastAsia="宋体"/>
          <w:color w:val="000000"/>
          <w:sz w:val="24"/>
          <w:highlight w:val="none"/>
          <w:lang w:eastAsia="zh-CN"/>
        </w:rPr>
      </w:pPr>
      <w:r>
        <w:rPr>
          <w:rFonts w:hint="eastAsia" w:ascii="宋体" w:hAnsi="宋体" w:eastAsia="宋体"/>
          <w:color w:val="000000"/>
          <w:sz w:val="24"/>
          <w:highlight w:val="none"/>
        </w:rPr>
        <w:t>工程竣工验收合格后，</w:t>
      </w:r>
      <w:r>
        <w:rPr>
          <w:rFonts w:hint="eastAsia" w:ascii="宋体" w:hAnsi="宋体" w:eastAsia="宋体"/>
          <w:color w:val="000000"/>
          <w:sz w:val="24"/>
          <w:highlight w:val="none"/>
          <w:lang w:val="en-US" w:eastAsia="zh-CN"/>
        </w:rPr>
        <w:t>30日内</w:t>
      </w:r>
      <w:r>
        <w:rPr>
          <w:rFonts w:hint="eastAsia" w:ascii="宋体" w:hAnsi="宋体" w:eastAsia="宋体"/>
          <w:color w:val="000000"/>
          <w:sz w:val="24"/>
          <w:highlight w:val="none"/>
        </w:rPr>
        <w:t>合同履约保证金无息返还</w:t>
      </w:r>
      <w:r>
        <w:rPr>
          <w:rFonts w:hint="eastAsia" w:ascii="宋体" w:hAnsi="宋体" w:eastAsia="宋体"/>
          <w:color w:val="000000"/>
          <w:sz w:val="24"/>
          <w:highlight w:val="none"/>
          <w:lang w:eastAsia="zh-CN"/>
        </w:rPr>
        <w:t>。</w:t>
      </w:r>
    </w:p>
    <w:p w14:paraId="318F5F08">
      <w:pPr>
        <w:spacing w:line="360" w:lineRule="auto"/>
        <w:jc w:val="left"/>
        <w:rPr>
          <w:rFonts w:hint="eastAsia" w:ascii="宋体" w:hAnsi="宋体" w:eastAsia="宋体"/>
          <w:b/>
          <w:bCs/>
          <w:color w:val="000000"/>
          <w:sz w:val="24"/>
        </w:rPr>
      </w:pPr>
      <w:r>
        <w:rPr>
          <w:rFonts w:hint="eastAsia" w:ascii="宋体" w:hAnsi="宋体" w:eastAsia="宋体"/>
          <w:b/>
          <w:bCs/>
          <w:color w:val="000000"/>
          <w:sz w:val="24"/>
          <w:lang w:val="en-US" w:eastAsia="zh-CN"/>
        </w:rPr>
        <w:t>十</w:t>
      </w:r>
      <w:r>
        <w:rPr>
          <w:rFonts w:ascii="宋体" w:hAnsi="宋体" w:eastAsia="宋体"/>
          <w:b/>
          <w:bCs/>
          <w:color w:val="000000"/>
          <w:sz w:val="24"/>
        </w:rPr>
        <w:t>、招标文件</w:t>
      </w:r>
      <w:r>
        <w:rPr>
          <w:rFonts w:hint="eastAsia" w:ascii="宋体" w:hAnsi="宋体" w:eastAsia="宋体"/>
          <w:b/>
          <w:bCs/>
          <w:color w:val="000000"/>
          <w:sz w:val="24"/>
        </w:rPr>
        <w:t>获取</w:t>
      </w:r>
    </w:p>
    <w:p w14:paraId="643D8D0C">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1、获取方式：凡有意参加本次招标的投标人，在公告期内登陆：济钢集团有限公司阳光购销平台</w:t>
      </w:r>
      <w:r>
        <w:rPr>
          <w:rFonts w:hint="eastAsia"/>
        </w:rPr>
        <w:fldChar w:fldCharType="begin"/>
      </w:r>
      <w:r>
        <w:instrText xml:space="preserve"> HYPERLINK "http://bidding.jigang.com.cn" </w:instrText>
      </w:r>
      <w:r>
        <w:rPr>
          <w:rFonts w:hint="eastAsia"/>
        </w:rPr>
        <w:fldChar w:fldCharType="separate"/>
      </w:r>
      <w:r>
        <w:rPr>
          <w:rFonts w:hint="eastAsia" w:ascii="宋体" w:hAnsi="宋体" w:eastAsia="宋体"/>
          <w:color w:val="000000"/>
          <w:sz w:val="24"/>
        </w:rPr>
        <w:t>http://bidding.jigang.com.cn</w:t>
      </w:r>
      <w:r>
        <w:rPr>
          <w:rFonts w:hint="eastAsia" w:ascii="宋体" w:hAnsi="宋体" w:eastAsia="宋体"/>
          <w:color w:val="000000"/>
          <w:sz w:val="24"/>
        </w:rPr>
        <w:fldChar w:fldCharType="end"/>
      </w:r>
      <w:r>
        <w:rPr>
          <w:rFonts w:hint="eastAsia" w:ascii="宋体" w:hAnsi="宋体" w:eastAsia="宋体"/>
          <w:color w:val="000000"/>
          <w:sz w:val="24"/>
        </w:rPr>
        <w:t>/ ，注册用户成功后，须修改初始密码，重新登录后报名，报名成功后即可下载招标文件</w:t>
      </w:r>
      <w:r>
        <w:rPr>
          <w:rFonts w:ascii="宋体" w:hAnsi="宋体" w:eastAsia="宋体"/>
          <w:color w:val="000000"/>
          <w:sz w:val="24"/>
        </w:rPr>
        <w:t>；</w:t>
      </w:r>
    </w:p>
    <w:p w14:paraId="2858E8B7">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、招标文件售价:</w:t>
      </w:r>
      <w:r>
        <w:rPr>
          <w:rFonts w:hint="eastAsia" w:ascii="宋体" w:hAnsi="宋体" w:eastAsia="宋体"/>
          <w:color w:val="000000"/>
          <w:sz w:val="24"/>
        </w:rPr>
        <w:t>0元</w:t>
      </w:r>
    </w:p>
    <w:p w14:paraId="75E488C6">
      <w:pPr>
        <w:spacing w:line="360" w:lineRule="auto"/>
        <w:jc w:val="left"/>
        <w:rPr>
          <w:rFonts w:hint="eastAsia" w:ascii="宋体" w:hAnsi="宋体" w:eastAsia="宋体"/>
          <w:b/>
          <w:bCs/>
          <w:color w:val="000000"/>
          <w:sz w:val="24"/>
        </w:rPr>
      </w:pPr>
      <w:r>
        <w:rPr>
          <w:rFonts w:hint="eastAsia" w:ascii="宋体" w:hAnsi="宋体" w:eastAsia="宋体"/>
          <w:b/>
          <w:bCs/>
          <w:color w:val="000000"/>
          <w:sz w:val="24"/>
          <w:lang w:val="en-US" w:eastAsia="zh-CN"/>
        </w:rPr>
        <w:t>十一</w:t>
      </w:r>
      <w:r>
        <w:rPr>
          <w:rFonts w:ascii="宋体" w:hAnsi="宋体" w:eastAsia="宋体"/>
          <w:b/>
          <w:bCs/>
          <w:color w:val="000000"/>
          <w:sz w:val="24"/>
        </w:rPr>
        <w:t>、开标</w:t>
      </w:r>
    </w:p>
    <w:p w14:paraId="5B5FFB08">
      <w:pPr>
        <w:spacing w:line="360" w:lineRule="auto"/>
        <w:ind w:firstLine="480" w:firstLineChars="200"/>
        <w:rPr>
          <w:rFonts w:hint="eastAsia" w:ascii="宋体" w:hAnsi="宋体" w:eastAsia="宋体"/>
          <w:color w:val="000000"/>
          <w:sz w:val="24"/>
          <w:highlight w:val="none"/>
        </w:rPr>
      </w:pPr>
      <w:r>
        <w:rPr>
          <w:rFonts w:ascii="宋体" w:hAnsi="宋体" w:eastAsia="宋体"/>
          <w:color w:val="000000"/>
          <w:sz w:val="24"/>
          <w:highlight w:val="none"/>
        </w:rPr>
        <w:t>1、开标时间：</w:t>
      </w:r>
      <w:r>
        <w:rPr>
          <w:rFonts w:hint="eastAsia" w:ascii="宋体" w:hAnsi="宋体" w:eastAsia="宋体"/>
          <w:color w:val="000000"/>
          <w:sz w:val="24"/>
          <w:highlight w:val="none"/>
          <w:lang w:val="en-US" w:eastAsia="zh-CN"/>
        </w:rPr>
        <w:t>2026</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29</w:t>
      </w:r>
      <w:r>
        <w:rPr>
          <w:rFonts w:ascii="宋体" w:hAnsi="宋体" w:eastAsia="宋体"/>
          <w:color w:val="000000"/>
          <w:sz w:val="24"/>
          <w:highlight w:val="none"/>
        </w:rPr>
        <w:t>日</w:t>
      </w:r>
      <w:r>
        <w:rPr>
          <w:rFonts w:hint="eastAsia" w:ascii="宋体" w:hAnsi="宋体" w:eastAsia="宋体"/>
          <w:color w:val="000000"/>
          <w:sz w:val="24"/>
          <w:highlight w:val="none"/>
        </w:rPr>
        <w:t>上午</w:t>
      </w:r>
      <w:r>
        <w:rPr>
          <w:rFonts w:hint="eastAsia" w:ascii="宋体" w:hAnsi="宋体" w:eastAsia="宋体"/>
          <w:color w:val="000000"/>
          <w:sz w:val="24"/>
          <w:highlight w:val="none"/>
          <w:lang w:val="en-US" w:eastAsia="zh-CN"/>
        </w:rPr>
        <w:t>9</w:t>
      </w:r>
      <w:r>
        <w:rPr>
          <w:rFonts w:ascii="宋体" w:hAnsi="宋体" w:eastAsia="宋体"/>
          <w:color w:val="000000"/>
          <w:sz w:val="24"/>
          <w:highlight w:val="none"/>
        </w:rPr>
        <w:t xml:space="preserve">时（北京时间）； </w:t>
      </w:r>
    </w:p>
    <w:p w14:paraId="645AE432">
      <w:pPr>
        <w:spacing w:line="360" w:lineRule="auto"/>
        <w:ind w:firstLine="480" w:firstLineChars="200"/>
        <w:rPr>
          <w:rFonts w:hint="eastAsia" w:ascii="宋体" w:hAnsi="宋体" w:eastAsia="宋体"/>
          <w:color w:val="000000"/>
          <w:sz w:val="24"/>
          <w:highlight w:val="none"/>
        </w:rPr>
      </w:pPr>
      <w:r>
        <w:rPr>
          <w:rFonts w:ascii="宋体" w:hAnsi="宋体" w:eastAsia="宋体"/>
          <w:color w:val="000000"/>
          <w:sz w:val="24"/>
          <w:highlight w:val="none"/>
        </w:rPr>
        <w:t>2、</w:t>
      </w:r>
      <w:r>
        <w:rPr>
          <w:rFonts w:hint="eastAsia" w:ascii="宋体" w:hAnsi="宋体" w:eastAsia="宋体"/>
          <w:color w:val="000000"/>
          <w:sz w:val="24"/>
          <w:highlight w:val="none"/>
        </w:rPr>
        <w:t>开标方式：网上开标，开标时无需投标人到达现场。</w:t>
      </w:r>
    </w:p>
    <w:p w14:paraId="0DF13C57">
      <w:pPr>
        <w:spacing w:line="360" w:lineRule="auto"/>
        <w:ind w:firstLine="480" w:firstLineChars="200"/>
        <w:rPr>
          <w:rFonts w:hint="eastAsia" w:ascii="宋体" w:hAnsi="宋体" w:eastAsia="宋体"/>
          <w:color w:val="000000"/>
          <w:sz w:val="24"/>
          <w:highlight w:val="none"/>
        </w:rPr>
      </w:pPr>
      <w:r>
        <w:rPr>
          <w:rFonts w:hint="eastAsia" w:ascii="宋体" w:hAnsi="宋体" w:eastAsia="宋体"/>
          <w:color w:val="000000"/>
          <w:sz w:val="24"/>
          <w:highlight w:val="none"/>
        </w:rPr>
        <w:t>3、上传投标文件截止时间：</w:t>
      </w:r>
      <w:r>
        <w:rPr>
          <w:rFonts w:hint="eastAsia" w:ascii="宋体" w:hAnsi="宋体" w:eastAsia="宋体"/>
          <w:color w:val="000000"/>
          <w:sz w:val="24"/>
          <w:highlight w:val="none"/>
          <w:lang w:val="en-US" w:eastAsia="zh-CN"/>
        </w:rPr>
        <w:t>2026</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29</w:t>
      </w:r>
      <w:r>
        <w:rPr>
          <w:rFonts w:ascii="宋体" w:hAnsi="宋体" w:eastAsia="宋体"/>
          <w:color w:val="000000"/>
          <w:sz w:val="24"/>
          <w:highlight w:val="none"/>
        </w:rPr>
        <w:t>日</w:t>
      </w:r>
      <w:r>
        <w:rPr>
          <w:rFonts w:hint="eastAsia" w:ascii="宋体" w:hAnsi="宋体" w:eastAsia="宋体"/>
          <w:color w:val="000000"/>
          <w:sz w:val="24"/>
          <w:highlight w:val="none"/>
        </w:rPr>
        <w:t>上午</w:t>
      </w:r>
      <w:r>
        <w:rPr>
          <w:rFonts w:hint="eastAsia" w:ascii="宋体" w:hAnsi="宋体" w:eastAsia="宋体"/>
          <w:color w:val="000000"/>
          <w:sz w:val="24"/>
          <w:highlight w:val="none"/>
          <w:lang w:val="en-US" w:eastAsia="zh-CN"/>
        </w:rPr>
        <w:t>9</w:t>
      </w:r>
      <w:r>
        <w:rPr>
          <w:rFonts w:ascii="宋体" w:hAnsi="宋体" w:eastAsia="宋体"/>
          <w:color w:val="000000"/>
          <w:sz w:val="24"/>
          <w:highlight w:val="none"/>
        </w:rPr>
        <w:t>时</w:t>
      </w:r>
      <w:r>
        <w:rPr>
          <w:rFonts w:hint="eastAsia" w:ascii="宋体" w:hAnsi="宋体" w:eastAsia="宋体"/>
          <w:color w:val="000000"/>
          <w:sz w:val="24"/>
          <w:highlight w:val="none"/>
        </w:rPr>
        <w:t>之前（北京时间</w:t>
      </w:r>
      <w:r>
        <w:rPr>
          <w:rFonts w:ascii="宋体" w:hAnsi="宋体" w:eastAsia="宋体"/>
          <w:color w:val="000000"/>
          <w:sz w:val="24"/>
          <w:highlight w:val="none"/>
        </w:rPr>
        <w:t>）。</w:t>
      </w:r>
    </w:p>
    <w:p w14:paraId="7AA497D7">
      <w:pPr>
        <w:spacing w:line="360" w:lineRule="auto"/>
        <w:jc w:val="left"/>
        <w:rPr>
          <w:rFonts w:hint="eastAsia" w:ascii="宋体" w:hAnsi="宋体" w:eastAsia="宋体"/>
          <w:color w:val="000000"/>
          <w:sz w:val="24"/>
        </w:rPr>
      </w:pPr>
      <w:r>
        <w:rPr>
          <w:rFonts w:hint="eastAsia" w:ascii="宋体" w:hAnsi="宋体" w:eastAsia="宋体"/>
          <w:b/>
          <w:bCs/>
          <w:color w:val="000000"/>
          <w:sz w:val="24"/>
        </w:rPr>
        <w:t>十</w:t>
      </w:r>
      <w:r>
        <w:rPr>
          <w:rFonts w:hint="eastAsia" w:ascii="宋体" w:hAnsi="宋体" w:eastAsia="宋体"/>
          <w:b/>
          <w:bCs/>
          <w:color w:val="000000"/>
          <w:sz w:val="24"/>
          <w:lang w:val="en-US" w:eastAsia="zh-CN"/>
        </w:rPr>
        <w:t>二</w:t>
      </w:r>
      <w:r>
        <w:rPr>
          <w:rFonts w:ascii="宋体" w:hAnsi="宋体" w:eastAsia="宋体"/>
          <w:b/>
          <w:bCs/>
          <w:color w:val="000000"/>
          <w:sz w:val="24"/>
        </w:rPr>
        <w:t>、</w:t>
      </w:r>
      <w:r>
        <w:rPr>
          <w:rFonts w:hint="eastAsia" w:ascii="宋体" w:hAnsi="宋体" w:eastAsia="宋体"/>
          <w:b/>
          <w:bCs/>
          <w:color w:val="000000"/>
          <w:sz w:val="24"/>
        </w:rPr>
        <w:t>工期</w:t>
      </w:r>
      <w:r>
        <w:rPr>
          <w:rFonts w:ascii="宋体" w:hAnsi="宋体" w:eastAsia="宋体"/>
          <w:b/>
          <w:bCs/>
          <w:color w:val="000000"/>
          <w:sz w:val="24"/>
        </w:rPr>
        <w:t>：</w:t>
      </w:r>
      <w:r>
        <w:rPr>
          <w:rFonts w:hint="eastAsia" w:ascii="宋体" w:hAnsi="宋体" w:eastAsia="宋体"/>
          <w:color w:val="000000"/>
          <w:sz w:val="24"/>
        </w:rPr>
        <w:t>主体工程6</w:t>
      </w:r>
      <w:r>
        <w:rPr>
          <w:rFonts w:ascii="宋体" w:hAnsi="宋体" w:eastAsia="宋体"/>
          <w:color w:val="000000"/>
          <w:sz w:val="24"/>
        </w:rPr>
        <w:t>个日历日（具体</w:t>
      </w:r>
      <w:r>
        <w:rPr>
          <w:rFonts w:hint="eastAsia" w:ascii="宋体" w:hAnsi="宋体" w:eastAsia="宋体"/>
          <w:color w:val="000000"/>
          <w:sz w:val="24"/>
        </w:rPr>
        <w:t>见工期要求</w:t>
      </w:r>
      <w:r>
        <w:rPr>
          <w:rFonts w:ascii="宋体" w:hAnsi="宋体" w:eastAsia="宋体"/>
          <w:color w:val="000000"/>
          <w:sz w:val="24"/>
        </w:rPr>
        <w:t>）</w:t>
      </w:r>
      <w:r>
        <w:rPr>
          <w:rFonts w:hint="eastAsia" w:ascii="宋体" w:hAnsi="宋体" w:eastAsia="宋体"/>
          <w:color w:val="000000"/>
          <w:sz w:val="24"/>
        </w:rPr>
        <w:t>。</w:t>
      </w:r>
    </w:p>
    <w:p w14:paraId="176202D4">
      <w:pPr>
        <w:spacing w:line="360" w:lineRule="auto"/>
        <w:jc w:val="left"/>
        <w:rPr>
          <w:rFonts w:hint="eastAsia" w:ascii="宋体" w:hAnsi="宋体" w:eastAsia="宋体"/>
        </w:rPr>
      </w:pPr>
      <w:r>
        <w:rPr>
          <w:rFonts w:hint="eastAsia" w:ascii="宋体" w:hAnsi="宋体" w:eastAsia="宋体"/>
          <w:b/>
          <w:bCs/>
          <w:color w:val="000000"/>
          <w:sz w:val="24"/>
        </w:rPr>
        <w:t>十</w:t>
      </w:r>
      <w:r>
        <w:rPr>
          <w:rFonts w:hint="eastAsia" w:ascii="宋体" w:hAnsi="宋体" w:eastAsia="宋体"/>
          <w:b/>
          <w:bCs/>
          <w:color w:val="000000"/>
          <w:sz w:val="24"/>
          <w:lang w:val="en-US" w:eastAsia="zh-CN"/>
        </w:rPr>
        <w:t>三</w:t>
      </w:r>
      <w:r>
        <w:rPr>
          <w:rFonts w:hint="eastAsia" w:ascii="宋体" w:hAnsi="宋体" w:eastAsia="宋体"/>
          <w:b/>
          <w:bCs/>
          <w:color w:val="000000"/>
          <w:sz w:val="24"/>
        </w:rPr>
        <w:t>、</w:t>
      </w:r>
      <w:r>
        <w:rPr>
          <w:rFonts w:ascii="宋体" w:hAnsi="宋体" w:eastAsia="宋体"/>
          <w:b/>
          <w:bCs/>
          <w:color w:val="000000"/>
          <w:sz w:val="24"/>
        </w:rPr>
        <w:t>招标联系人：</w:t>
      </w:r>
    </w:p>
    <w:p w14:paraId="26132BE6">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1</w:t>
      </w:r>
      <w:r>
        <w:rPr>
          <w:rFonts w:ascii="宋体" w:hAnsi="宋体" w:eastAsia="宋体"/>
          <w:color w:val="000000"/>
          <w:sz w:val="24"/>
        </w:rPr>
        <w:t>、</w:t>
      </w:r>
      <w:r>
        <w:rPr>
          <w:rFonts w:hint="eastAsia" w:ascii="宋体" w:hAnsi="宋体" w:eastAsia="宋体"/>
          <w:color w:val="000000"/>
          <w:sz w:val="24"/>
        </w:rPr>
        <w:t>招标</w:t>
      </w:r>
      <w:r>
        <w:rPr>
          <w:rFonts w:ascii="宋体" w:hAnsi="宋体" w:eastAsia="宋体"/>
          <w:color w:val="000000"/>
          <w:sz w:val="24"/>
        </w:rPr>
        <w:t>联系人：</w:t>
      </w:r>
      <w:r>
        <w:rPr>
          <w:rFonts w:hint="eastAsia" w:ascii="宋体" w:hAnsi="宋体" w:eastAsia="宋体"/>
          <w:color w:val="000000"/>
          <w:sz w:val="24"/>
        </w:rPr>
        <w:t>于工</w:t>
      </w:r>
      <w:r>
        <w:rPr>
          <w:rFonts w:ascii="宋体" w:hAnsi="宋体" w:eastAsia="宋体"/>
          <w:color w:val="000000"/>
          <w:sz w:val="24"/>
        </w:rPr>
        <w:t>，联系电话：</w:t>
      </w:r>
      <w:r>
        <w:rPr>
          <w:rFonts w:hint="eastAsia" w:ascii="宋体" w:hAnsi="宋体" w:eastAsia="宋体"/>
          <w:color w:val="000000"/>
          <w:sz w:val="24"/>
          <w:lang w:val="en-US" w:eastAsia="zh-CN"/>
        </w:rPr>
        <w:t>17615831790</w:t>
      </w:r>
      <w:r>
        <w:rPr>
          <w:rFonts w:ascii="宋体" w:hAnsi="宋体" w:eastAsia="宋体"/>
          <w:color w:val="000000"/>
          <w:sz w:val="24"/>
        </w:rPr>
        <w:t>；</w:t>
      </w:r>
    </w:p>
    <w:p w14:paraId="4887E8D3">
      <w:pPr>
        <w:spacing w:line="360" w:lineRule="auto"/>
        <w:ind w:firstLine="480" w:firstLineChars="200"/>
        <w:rPr>
          <w:rFonts w:hint="eastAsia"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w:t>
      </w:r>
      <w:r>
        <w:rPr>
          <w:rFonts w:hint="eastAsia" w:ascii="宋体" w:hAnsi="宋体" w:eastAsia="宋体"/>
          <w:color w:val="000000"/>
          <w:sz w:val="24"/>
        </w:rPr>
        <w:t>技术</w:t>
      </w:r>
      <w:r>
        <w:rPr>
          <w:rFonts w:ascii="宋体" w:hAnsi="宋体" w:eastAsia="宋体"/>
          <w:color w:val="000000"/>
          <w:sz w:val="24"/>
        </w:rPr>
        <w:t>联系人：</w:t>
      </w:r>
      <w:r>
        <w:rPr>
          <w:rFonts w:hint="eastAsia" w:ascii="宋体" w:hAnsi="宋体" w:eastAsia="宋体"/>
          <w:color w:val="000000"/>
          <w:sz w:val="24"/>
        </w:rPr>
        <w:t>王工，</w:t>
      </w:r>
      <w:r>
        <w:rPr>
          <w:rFonts w:ascii="宋体" w:hAnsi="宋体" w:eastAsia="宋体"/>
          <w:color w:val="000000"/>
          <w:sz w:val="24"/>
        </w:rPr>
        <w:t xml:space="preserve"> 联系电话：</w:t>
      </w:r>
      <w:r>
        <w:rPr>
          <w:rFonts w:hint="eastAsia" w:ascii="宋体" w:hAnsi="宋体" w:eastAsia="宋体"/>
          <w:color w:val="000000"/>
          <w:sz w:val="24"/>
        </w:rPr>
        <w:t>18764169925；</w:t>
      </w:r>
    </w:p>
    <w:p w14:paraId="20FBD16D">
      <w:pPr>
        <w:spacing w:line="360" w:lineRule="auto"/>
        <w:jc w:val="left"/>
        <w:rPr>
          <w:rFonts w:ascii="宋体" w:hAnsi="宋体" w:eastAsia="宋体"/>
          <w:b/>
          <w:bCs/>
          <w:color w:val="000000"/>
          <w:sz w:val="24"/>
        </w:rPr>
      </w:pPr>
      <w:r>
        <w:rPr>
          <w:rFonts w:ascii="宋体" w:hAnsi="宋体" w:eastAsia="宋体"/>
          <w:b/>
          <w:bCs/>
          <w:color w:val="000000"/>
          <w:sz w:val="24"/>
        </w:rPr>
        <w:t>十</w:t>
      </w:r>
      <w:r>
        <w:rPr>
          <w:rFonts w:hint="eastAsia" w:ascii="宋体" w:hAnsi="宋体" w:eastAsia="宋体"/>
          <w:b/>
          <w:bCs/>
          <w:color w:val="000000"/>
          <w:sz w:val="24"/>
          <w:lang w:val="en-US" w:eastAsia="zh-CN"/>
        </w:rPr>
        <w:t>四</w:t>
      </w:r>
      <w:r>
        <w:rPr>
          <w:rFonts w:ascii="宋体" w:hAnsi="宋体" w:eastAsia="宋体"/>
          <w:b/>
          <w:bCs/>
          <w:color w:val="000000"/>
          <w:sz w:val="24"/>
        </w:rPr>
        <w:t>、报名及投标人员在</w:t>
      </w:r>
      <w:r>
        <w:rPr>
          <w:rFonts w:hint="eastAsia" w:ascii="宋体" w:hAnsi="宋体" w:eastAsia="宋体"/>
          <w:b/>
          <w:bCs/>
          <w:color w:val="000000"/>
          <w:sz w:val="24"/>
        </w:rPr>
        <w:t>济南黄河爆破工程有限责任</w:t>
      </w:r>
      <w:r>
        <w:rPr>
          <w:rFonts w:ascii="宋体" w:hAnsi="宋体" w:eastAsia="宋体"/>
          <w:b/>
          <w:bCs/>
          <w:color w:val="000000"/>
          <w:sz w:val="24"/>
        </w:rPr>
        <w:t>公司的一切活动，必须遵守</w:t>
      </w:r>
      <w:r>
        <w:rPr>
          <w:rFonts w:hint="eastAsia" w:ascii="宋体" w:hAnsi="宋体" w:eastAsia="宋体"/>
          <w:b/>
          <w:bCs/>
          <w:color w:val="000000"/>
          <w:sz w:val="24"/>
        </w:rPr>
        <w:t>济南黄河爆破工程有限责任</w:t>
      </w:r>
      <w:r>
        <w:rPr>
          <w:rFonts w:ascii="宋体" w:hAnsi="宋体" w:eastAsia="宋体"/>
          <w:b/>
          <w:bCs/>
          <w:color w:val="000000"/>
          <w:sz w:val="24"/>
        </w:rPr>
        <w:t>公司的安全规定。现场技术交底及现场装运必须遵守现场安全管理规定，服从现场指挥。</w:t>
      </w:r>
    </w:p>
    <w:p w14:paraId="057BFD7F">
      <w:pPr>
        <w:spacing w:line="360" w:lineRule="auto"/>
        <w:jc w:val="left"/>
        <w:rPr>
          <w:rFonts w:hint="default" w:ascii="宋体" w:hAnsi="宋体" w:eastAsia="宋体" w:cs="Times New Roman"/>
          <w:b/>
          <w:bCs/>
          <w:color w:val="000000"/>
          <w:sz w:val="24"/>
          <w:lang w:val="en-US" w:eastAsia="zh-CN"/>
        </w:rPr>
      </w:pPr>
      <w:r>
        <w:rPr>
          <w:rFonts w:hint="eastAsia" w:ascii="宋体" w:hAnsi="宋体" w:eastAsia="宋体" w:cs="Times New Roman"/>
          <w:b/>
          <w:bCs/>
          <w:color w:val="000000"/>
          <w:sz w:val="24"/>
          <w:lang w:val="en-US" w:eastAsia="zh-CN"/>
        </w:rPr>
        <w:t>十五、</w:t>
      </w:r>
      <w:r>
        <w:rPr>
          <w:rFonts w:hint="default" w:ascii="宋体" w:hAnsi="宋体" w:eastAsia="宋体" w:cs="Times New Roman"/>
          <w:b/>
          <w:bCs/>
          <w:color w:val="000000"/>
          <w:sz w:val="24"/>
          <w:lang w:val="en-US" w:eastAsia="zh-CN"/>
        </w:rPr>
        <w:t>特别说明</w:t>
      </w:r>
    </w:p>
    <w:p w14:paraId="704EFDB9">
      <w:pPr>
        <w:keepNext w:val="0"/>
        <w:keepLines w:val="0"/>
        <w:pageBreakBefore w:val="0"/>
        <w:numPr>
          <w:ilvl w:val="0"/>
          <w:numId w:val="0"/>
        </w:numPr>
        <w:kinsoku/>
        <w:wordWrap/>
        <w:overflowPunct/>
        <w:topLinePunct w:val="0"/>
        <w:autoSpaceDE/>
        <w:autoSpaceDN/>
        <w:bidi w:val="0"/>
        <w:adjustRightInd/>
        <w:snapToGrid/>
        <w:spacing w:line="360" w:lineRule="auto"/>
        <w:ind w:firstLine="720" w:firstLineChars="300"/>
        <w:textAlignment w:val="auto"/>
        <w:rPr>
          <w:rFonts w:hint="eastAsia"/>
        </w:rPr>
      </w:pPr>
      <w:r>
        <w:rPr>
          <w:rFonts w:hint="default" w:ascii="宋体" w:hAnsi="宋体" w:eastAsia="宋体"/>
          <w:color w:val="000000"/>
          <w:sz w:val="24"/>
        </w:rPr>
        <w:t>投标人须充分考虑节假日、冬季施工及养护周期等因素，在投标文件中提供详细的施工组织方案与工期保证措施。</w:t>
      </w:r>
    </w:p>
    <w:p w14:paraId="779E1637">
      <w:pPr>
        <w:spacing w:line="360" w:lineRule="auto"/>
        <w:jc w:val="left"/>
        <w:rPr>
          <w:rFonts w:hint="eastAsia" w:ascii="宋体" w:hAnsi="宋体" w:eastAsia="宋体"/>
          <w:b/>
          <w:bCs/>
          <w:color w:val="000000"/>
          <w:sz w:val="24"/>
        </w:rPr>
      </w:pPr>
      <w:r>
        <w:rPr>
          <w:rFonts w:ascii="宋体" w:hAnsi="宋体" w:eastAsia="宋体"/>
          <w:b/>
          <w:bCs/>
          <w:color w:val="000000"/>
          <w:sz w:val="24"/>
        </w:rPr>
        <w:t>十</w:t>
      </w:r>
      <w:r>
        <w:rPr>
          <w:rFonts w:hint="eastAsia" w:ascii="宋体" w:hAnsi="宋体" w:eastAsia="宋体"/>
          <w:b/>
          <w:bCs/>
          <w:color w:val="000000"/>
          <w:sz w:val="24"/>
          <w:lang w:val="en-US" w:eastAsia="zh-CN"/>
        </w:rPr>
        <w:t>六</w:t>
      </w:r>
      <w:r>
        <w:rPr>
          <w:rFonts w:ascii="宋体" w:hAnsi="宋体" w:eastAsia="宋体"/>
          <w:b/>
          <w:bCs/>
          <w:color w:val="000000"/>
          <w:sz w:val="24"/>
        </w:rPr>
        <w:t>、公告中的招标内容和招标其他要求以最终的招标文件为准。</w:t>
      </w:r>
    </w:p>
    <w:p w14:paraId="06C73119">
      <w:pPr>
        <w:pStyle w:val="46"/>
        <w:ind w:firstLine="400"/>
      </w:pPr>
    </w:p>
    <w:p w14:paraId="22B33BF7">
      <w:pPr>
        <w:spacing w:line="300" w:lineRule="auto"/>
        <w:ind w:left="1000"/>
        <w:jc w:val="right"/>
        <w:rPr>
          <w:rFonts w:hint="eastAsia" w:ascii="宋体" w:hAnsi="宋体" w:eastAsia="宋体"/>
          <w:color w:val="000000"/>
          <w:sz w:val="24"/>
          <w:szCs w:val="24"/>
        </w:rPr>
      </w:pPr>
      <w:r>
        <w:rPr>
          <w:rFonts w:hint="eastAsia" w:ascii="宋体" w:hAnsi="宋体" w:eastAsia="宋体"/>
          <w:color w:val="000000"/>
          <w:sz w:val="24"/>
          <w:szCs w:val="24"/>
        </w:rPr>
        <w:t>济南黄河爆破工程有限责任</w:t>
      </w:r>
      <w:r>
        <w:rPr>
          <w:rFonts w:ascii="宋体" w:hAnsi="宋体" w:eastAsia="宋体"/>
          <w:color w:val="000000"/>
          <w:sz w:val="24"/>
          <w:szCs w:val="24"/>
        </w:rPr>
        <w:t>公司</w:t>
      </w:r>
    </w:p>
    <w:p w14:paraId="511028D4">
      <w:pPr>
        <w:spacing w:line="300" w:lineRule="auto"/>
        <w:ind w:firstLine="6240" w:firstLineChars="2600"/>
        <w:rPr>
          <w:rFonts w:hint="eastAsia" w:ascii="宋体" w:hAnsi="宋体" w:eastAsia="宋体"/>
          <w:color w:val="000000"/>
          <w:sz w:val="24"/>
          <w:szCs w:val="24"/>
          <w:highlight w:val="none"/>
        </w:rPr>
      </w:pPr>
      <w:r>
        <w:rPr>
          <w:rFonts w:hint="eastAsia" w:ascii="宋体" w:hAnsi="宋体" w:eastAsia="宋体"/>
          <w:color w:val="000000"/>
          <w:sz w:val="24"/>
          <w:szCs w:val="24"/>
          <w:highlight w:val="none"/>
          <w:lang w:val="en-US" w:eastAsia="zh-CN"/>
        </w:rPr>
        <w:t>2026</w:t>
      </w:r>
      <w:r>
        <w:rPr>
          <w:rFonts w:ascii="宋体" w:hAnsi="宋体" w:eastAsia="宋体"/>
          <w:color w:val="000000"/>
          <w:sz w:val="24"/>
          <w:szCs w:val="24"/>
          <w:highlight w:val="none"/>
        </w:rPr>
        <w:t>年</w:t>
      </w:r>
      <w:r>
        <w:rPr>
          <w:rFonts w:hint="eastAsia" w:ascii="宋体" w:hAnsi="宋体" w:eastAsia="宋体"/>
          <w:color w:val="000000"/>
          <w:sz w:val="24"/>
          <w:szCs w:val="24"/>
          <w:highlight w:val="none"/>
          <w:lang w:val="en-US" w:eastAsia="zh-CN"/>
        </w:rPr>
        <w:t>1</w:t>
      </w:r>
      <w:r>
        <w:rPr>
          <w:rFonts w:ascii="宋体" w:hAnsi="宋体" w:eastAsia="宋体"/>
          <w:color w:val="000000"/>
          <w:sz w:val="24"/>
          <w:szCs w:val="24"/>
          <w:highlight w:val="none"/>
        </w:rPr>
        <w:t>月</w:t>
      </w:r>
      <w:r>
        <w:rPr>
          <w:rFonts w:hint="eastAsia" w:ascii="宋体" w:hAnsi="宋体" w:eastAsia="宋体"/>
          <w:color w:val="000000"/>
          <w:sz w:val="24"/>
          <w:szCs w:val="24"/>
          <w:highlight w:val="none"/>
          <w:lang w:val="en-US" w:eastAsia="zh-CN"/>
        </w:rPr>
        <w:t>21</w:t>
      </w:r>
      <w:r>
        <w:rPr>
          <w:rFonts w:ascii="宋体" w:hAnsi="宋体" w:eastAsia="宋体"/>
          <w:color w:val="000000"/>
          <w:sz w:val="24"/>
          <w:szCs w:val="24"/>
          <w:highlight w:val="none"/>
        </w:rPr>
        <w:t>日</w:t>
      </w:r>
    </w:p>
    <w:p w14:paraId="73FB2C66">
      <w:pPr>
        <w:pStyle w:val="46"/>
        <w:ind w:firstLine="400"/>
        <w:jc w:val="center"/>
        <w:rPr>
          <w:rFonts w:ascii="Times New Roman" w:hAnsi="Times New Roman"/>
          <w:b/>
          <w:bCs w:val="0"/>
          <w:i w:val="0"/>
          <w:color w:val="000000"/>
          <w:kern w:val="2"/>
          <w:sz w:val="44"/>
          <w:szCs w:val="44"/>
        </w:rPr>
      </w:pPr>
      <w:r>
        <w:br w:type="page"/>
      </w:r>
      <w:r>
        <w:rPr>
          <w:rFonts w:hint="eastAsia"/>
        </w:rPr>
        <w:t xml:space="preserve"> </w:t>
      </w:r>
      <w:bookmarkEnd w:id="1"/>
      <w:bookmarkEnd w:id="2"/>
      <w:bookmarkEnd w:id="3"/>
      <w:bookmarkEnd w:id="4"/>
      <w:bookmarkStart w:id="6" w:name="_Toc179632544"/>
      <w:bookmarkStart w:id="7" w:name="_Toc22580"/>
      <w:r>
        <w:rPr>
          <w:rFonts w:hint="eastAsia" w:ascii="Times New Roman" w:hAnsi="Times New Roman"/>
          <w:b/>
          <w:bCs w:val="0"/>
          <w:i w:val="0"/>
          <w:color w:val="000000"/>
          <w:kern w:val="2"/>
          <w:sz w:val="44"/>
          <w:szCs w:val="44"/>
        </w:rPr>
        <w:t>第二章 投标人须知</w:t>
      </w:r>
      <w:bookmarkEnd w:id="6"/>
      <w:bookmarkEnd w:id="7"/>
    </w:p>
    <w:p w14:paraId="05E327AA">
      <w:pPr>
        <w:keepNext/>
        <w:keepLines/>
        <w:spacing w:before="120" w:after="156" w:afterLines="50" w:line="400" w:lineRule="exact"/>
        <w:ind w:firstLine="400"/>
        <w:outlineLvl w:val="9"/>
        <w:rPr>
          <w:rFonts w:ascii="Times New Roman" w:hAnsi="Times New Roman" w:eastAsia="黑体"/>
          <w:kern w:val="0"/>
          <w:sz w:val="28"/>
          <w:szCs w:val="20"/>
        </w:rPr>
      </w:pPr>
      <w:bookmarkStart w:id="8" w:name="_Toc179632545"/>
      <w:r>
        <w:rPr>
          <w:rFonts w:hint="eastAsia" w:ascii="Times New Roman" w:hAnsi="Times New Roman" w:eastAsia="黑体"/>
          <w:kern w:val="0"/>
          <w:sz w:val="28"/>
          <w:szCs w:val="20"/>
        </w:rPr>
        <w:t>投标人须知前附表</w:t>
      </w:r>
      <w:bookmarkEnd w:id="8"/>
    </w:p>
    <w:tbl>
      <w:tblPr>
        <w:tblStyle w:val="47"/>
        <w:tblW w:w="5000" w:type="pct"/>
        <w:tblInd w:w="0" w:type="dxa"/>
        <w:tblLayout w:type="autofit"/>
        <w:tblCellMar>
          <w:top w:w="0" w:type="dxa"/>
          <w:left w:w="108" w:type="dxa"/>
          <w:bottom w:w="0" w:type="dxa"/>
          <w:right w:w="108" w:type="dxa"/>
        </w:tblCellMar>
      </w:tblPr>
      <w:tblGrid>
        <w:gridCol w:w="1041"/>
        <w:gridCol w:w="2610"/>
        <w:gridCol w:w="5183"/>
      </w:tblGrid>
      <w:tr w14:paraId="1ED6D892">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67559BB">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条款号</w:t>
            </w:r>
          </w:p>
        </w:tc>
        <w:tc>
          <w:tcPr>
            <w:tcW w:w="1477" w:type="pct"/>
            <w:tcBorders>
              <w:top w:val="single" w:color="auto" w:sz="4" w:space="0"/>
              <w:left w:val="single" w:color="auto" w:sz="4" w:space="0"/>
              <w:bottom w:val="single" w:color="auto" w:sz="4" w:space="0"/>
              <w:right w:val="single" w:color="auto" w:sz="4" w:space="0"/>
            </w:tcBorders>
            <w:vAlign w:val="center"/>
          </w:tcPr>
          <w:p w14:paraId="0F0044E3">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条款名称</w:t>
            </w:r>
          </w:p>
        </w:tc>
        <w:tc>
          <w:tcPr>
            <w:tcW w:w="2933" w:type="pct"/>
            <w:tcBorders>
              <w:top w:val="single" w:color="auto" w:sz="4" w:space="0"/>
              <w:left w:val="single" w:color="auto" w:sz="4" w:space="0"/>
              <w:bottom w:val="single" w:color="auto" w:sz="4" w:space="0"/>
              <w:right w:val="single" w:color="auto" w:sz="4" w:space="0"/>
            </w:tcBorders>
            <w:vAlign w:val="center"/>
          </w:tcPr>
          <w:p w14:paraId="185F65F3">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编列内容</w:t>
            </w:r>
          </w:p>
        </w:tc>
      </w:tr>
      <w:tr w14:paraId="3E91566D">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33F22D8">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18288F17">
            <w:pPr>
              <w:spacing w:line="300" w:lineRule="auto"/>
              <w:ind w:firstLine="420" w:firstLineChars="200"/>
              <w:rPr>
                <w:rFonts w:ascii="Times New Roman" w:hAnsi="Times New Roman"/>
                <w:color w:val="000000"/>
              </w:rPr>
            </w:pPr>
            <w:r>
              <w:rPr>
                <w:rFonts w:hint="eastAsia" w:ascii="Times New Roman" w:hAnsi="Times New Roman"/>
                <w:color w:val="000000"/>
              </w:rPr>
              <w:t>招标人</w:t>
            </w:r>
          </w:p>
        </w:tc>
        <w:tc>
          <w:tcPr>
            <w:tcW w:w="2933" w:type="pct"/>
            <w:tcBorders>
              <w:top w:val="single" w:color="auto" w:sz="4" w:space="0"/>
              <w:left w:val="single" w:color="auto" w:sz="4" w:space="0"/>
              <w:bottom w:val="single" w:color="auto" w:sz="4" w:space="0"/>
              <w:right w:val="single" w:color="auto" w:sz="4" w:space="0"/>
            </w:tcBorders>
            <w:vAlign w:val="center"/>
          </w:tcPr>
          <w:p w14:paraId="2AA840CB">
            <w:pPr>
              <w:spacing w:line="300" w:lineRule="auto"/>
              <w:rPr>
                <w:rFonts w:ascii="Times New Roman" w:hAnsi="Times New Roman"/>
                <w:color w:val="000000"/>
              </w:rPr>
            </w:pPr>
            <w:r>
              <w:rPr>
                <w:rFonts w:hint="eastAsia" w:ascii="Times New Roman" w:hAnsi="Times New Roman"/>
                <w:color w:val="000000"/>
              </w:rPr>
              <w:t>名称：济南黄河爆破工程有限责任公司</w:t>
            </w:r>
          </w:p>
          <w:p w14:paraId="6FD0F69A">
            <w:pPr>
              <w:spacing w:line="300" w:lineRule="auto"/>
              <w:rPr>
                <w:rFonts w:ascii="Times New Roman" w:hAnsi="Times New Roman"/>
                <w:color w:val="000000"/>
              </w:rPr>
            </w:pPr>
            <w:r>
              <w:rPr>
                <w:rFonts w:hint="eastAsia" w:ascii="Times New Roman" w:hAnsi="Times New Roman"/>
                <w:color w:val="000000"/>
              </w:rPr>
              <w:t>地址：山东省济南市章丘区官庄街道办事处弓角湾村</w:t>
            </w:r>
          </w:p>
        </w:tc>
      </w:tr>
      <w:tr w14:paraId="387EAE2C">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8AD5D66">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2</w:t>
            </w:r>
          </w:p>
        </w:tc>
        <w:tc>
          <w:tcPr>
            <w:tcW w:w="1477" w:type="pct"/>
            <w:tcBorders>
              <w:top w:val="single" w:color="auto" w:sz="4" w:space="0"/>
              <w:left w:val="single" w:color="auto" w:sz="4" w:space="0"/>
              <w:bottom w:val="single" w:color="auto" w:sz="4" w:space="0"/>
              <w:right w:val="single" w:color="auto" w:sz="4" w:space="0"/>
            </w:tcBorders>
            <w:vAlign w:val="center"/>
          </w:tcPr>
          <w:p w14:paraId="5DE50F09">
            <w:pPr>
              <w:spacing w:line="300" w:lineRule="auto"/>
              <w:ind w:firstLine="420" w:firstLineChars="200"/>
              <w:rPr>
                <w:rFonts w:ascii="Times New Roman" w:hAnsi="Times New Roman"/>
                <w:color w:val="000000"/>
              </w:rPr>
            </w:pPr>
            <w:r>
              <w:rPr>
                <w:rFonts w:hint="eastAsia" w:ascii="Times New Roman" w:hAnsi="Times New Roman"/>
                <w:color w:val="000000"/>
              </w:rPr>
              <w:t>项目名称</w:t>
            </w:r>
          </w:p>
        </w:tc>
        <w:tc>
          <w:tcPr>
            <w:tcW w:w="2933" w:type="pct"/>
            <w:tcBorders>
              <w:top w:val="single" w:color="auto" w:sz="4" w:space="0"/>
              <w:left w:val="single" w:color="auto" w:sz="4" w:space="0"/>
              <w:bottom w:val="single" w:color="auto" w:sz="4" w:space="0"/>
              <w:right w:val="single" w:color="auto" w:sz="4" w:space="0"/>
            </w:tcBorders>
            <w:vAlign w:val="center"/>
          </w:tcPr>
          <w:p w14:paraId="1094D366">
            <w:pPr>
              <w:spacing w:line="300" w:lineRule="auto"/>
              <w:ind w:leftChars="-304" w:hanging="638" w:hangingChars="266"/>
              <w:jc w:val="left"/>
              <w:rPr>
                <w:rFonts w:ascii="Times New Roman" w:hAnsi="Times New Roman"/>
                <w:color w:val="000000"/>
              </w:rPr>
            </w:pPr>
            <w:r>
              <w:rPr>
                <w:rFonts w:hint="eastAsia" w:ascii="宋体" w:hAnsi="宋体" w:eastAsia="宋体"/>
                <w:color w:val="000000"/>
                <w:sz w:val="24"/>
              </w:rPr>
              <w:t>济南</w:t>
            </w:r>
            <w:r>
              <w:rPr>
                <w:rFonts w:hint="eastAsia" w:ascii="Times New Roman" w:hAnsi="Times New Roman"/>
                <w:color w:val="000000"/>
              </w:rPr>
              <w:t>矿山连接道路破损维修工程采购</w:t>
            </w:r>
          </w:p>
        </w:tc>
      </w:tr>
      <w:tr w14:paraId="55BDDEFF">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EEC97B6">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3</w:t>
            </w:r>
          </w:p>
        </w:tc>
        <w:tc>
          <w:tcPr>
            <w:tcW w:w="1477" w:type="pct"/>
            <w:tcBorders>
              <w:top w:val="single" w:color="auto" w:sz="4" w:space="0"/>
              <w:left w:val="single" w:color="auto" w:sz="4" w:space="0"/>
              <w:bottom w:val="single" w:color="auto" w:sz="4" w:space="0"/>
              <w:right w:val="single" w:color="auto" w:sz="4" w:space="0"/>
            </w:tcBorders>
            <w:vAlign w:val="center"/>
          </w:tcPr>
          <w:p w14:paraId="05851722">
            <w:pPr>
              <w:spacing w:line="300" w:lineRule="auto"/>
              <w:ind w:firstLine="420" w:firstLineChars="200"/>
              <w:rPr>
                <w:rFonts w:ascii="Times New Roman" w:hAnsi="Times New Roman"/>
                <w:color w:val="000000"/>
              </w:rPr>
            </w:pPr>
            <w:r>
              <w:rPr>
                <w:rFonts w:hint="eastAsia" w:ascii="Times New Roman" w:hAnsi="Times New Roman"/>
                <w:color w:val="000000"/>
              </w:rPr>
              <w:t>建设地点</w:t>
            </w:r>
          </w:p>
        </w:tc>
        <w:tc>
          <w:tcPr>
            <w:tcW w:w="2933" w:type="pct"/>
            <w:tcBorders>
              <w:top w:val="single" w:color="auto" w:sz="4" w:space="0"/>
              <w:left w:val="single" w:color="auto" w:sz="4" w:space="0"/>
              <w:bottom w:val="single" w:color="auto" w:sz="4" w:space="0"/>
              <w:right w:val="single" w:color="auto" w:sz="4" w:space="0"/>
            </w:tcBorders>
            <w:vAlign w:val="center"/>
          </w:tcPr>
          <w:p w14:paraId="5DD52A1F">
            <w:pPr>
              <w:spacing w:line="300" w:lineRule="auto"/>
              <w:rPr>
                <w:rFonts w:ascii="Times New Roman" w:hAnsi="Times New Roman"/>
                <w:color w:val="000000"/>
              </w:rPr>
            </w:pPr>
            <w:r>
              <w:rPr>
                <w:rFonts w:hint="eastAsia" w:ascii="Times New Roman" w:hAnsi="Times New Roman"/>
                <w:color w:val="000000"/>
              </w:rPr>
              <w:t>山东省济南市章丘区官庄街道办事处弓角湾村</w:t>
            </w:r>
          </w:p>
        </w:tc>
      </w:tr>
      <w:tr w14:paraId="6DE01727">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020C083">
            <w:pPr>
              <w:spacing w:line="300" w:lineRule="auto"/>
              <w:rPr>
                <w:rFonts w:ascii="Times New Roman" w:hAnsi="Times New Roman"/>
                <w:color w:val="000000"/>
              </w:rPr>
            </w:pPr>
            <w:r>
              <w:rPr>
                <w:rFonts w:ascii="Times New Roman" w:hAnsi="Times New Roman"/>
                <w:color w:val="000000"/>
              </w:rPr>
              <w:t>1.2.1</w:t>
            </w:r>
          </w:p>
        </w:tc>
        <w:tc>
          <w:tcPr>
            <w:tcW w:w="1477" w:type="pct"/>
            <w:tcBorders>
              <w:top w:val="single" w:color="auto" w:sz="4" w:space="0"/>
              <w:left w:val="single" w:color="auto" w:sz="4" w:space="0"/>
              <w:bottom w:val="single" w:color="auto" w:sz="4" w:space="0"/>
              <w:right w:val="single" w:color="auto" w:sz="4" w:space="0"/>
            </w:tcBorders>
            <w:vAlign w:val="center"/>
          </w:tcPr>
          <w:p w14:paraId="338666AA">
            <w:pPr>
              <w:spacing w:line="300" w:lineRule="auto"/>
              <w:ind w:firstLine="420" w:firstLineChars="200"/>
              <w:rPr>
                <w:rFonts w:ascii="Times New Roman" w:hAnsi="Times New Roman"/>
                <w:color w:val="000000"/>
              </w:rPr>
            </w:pPr>
            <w:r>
              <w:rPr>
                <w:rFonts w:hint="eastAsia" w:ascii="Times New Roman" w:hAnsi="Times New Roman"/>
                <w:color w:val="000000"/>
              </w:rPr>
              <w:t>资金来源</w:t>
            </w:r>
          </w:p>
        </w:tc>
        <w:tc>
          <w:tcPr>
            <w:tcW w:w="2933" w:type="pct"/>
            <w:tcBorders>
              <w:top w:val="single" w:color="auto" w:sz="4" w:space="0"/>
              <w:left w:val="single" w:color="auto" w:sz="4" w:space="0"/>
              <w:bottom w:val="single" w:color="auto" w:sz="4" w:space="0"/>
              <w:right w:val="single" w:color="auto" w:sz="4" w:space="0"/>
            </w:tcBorders>
            <w:vAlign w:val="center"/>
          </w:tcPr>
          <w:p w14:paraId="461D5203">
            <w:pPr>
              <w:spacing w:line="300" w:lineRule="auto"/>
              <w:rPr>
                <w:rFonts w:ascii="Times New Roman" w:hAnsi="Times New Roman"/>
                <w:color w:val="000000"/>
              </w:rPr>
            </w:pPr>
            <w:r>
              <w:rPr>
                <w:rFonts w:hint="eastAsia" w:ascii="Times New Roman" w:hAnsi="Times New Roman"/>
                <w:color w:val="000000"/>
              </w:rPr>
              <w:t>企业自筹</w:t>
            </w:r>
          </w:p>
        </w:tc>
      </w:tr>
      <w:tr w14:paraId="2469B901">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8E519BF">
            <w:pPr>
              <w:spacing w:line="300" w:lineRule="auto"/>
              <w:rPr>
                <w:rFonts w:ascii="Times New Roman" w:hAnsi="Times New Roman"/>
                <w:color w:val="000000"/>
              </w:rPr>
            </w:pPr>
            <w:r>
              <w:rPr>
                <w:rFonts w:ascii="Times New Roman" w:hAnsi="Times New Roman"/>
                <w:color w:val="000000"/>
              </w:rPr>
              <w:t>1.</w:t>
            </w:r>
            <w:r>
              <w:rPr>
                <w:rFonts w:hint="eastAsia" w:ascii="Times New Roman" w:hAnsi="Times New Roman"/>
                <w:color w:val="000000"/>
              </w:rPr>
              <w:t>3</w:t>
            </w:r>
            <w:r>
              <w:rPr>
                <w:rFonts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1819817E">
            <w:pPr>
              <w:spacing w:line="300" w:lineRule="auto"/>
              <w:ind w:firstLine="420" w:firstLineChars="200"/>
              <w:rPr>
                <w:rFonts w:ascii="Times New Roman" w:hAnsi="Times New Roman"/>
                <w:color w:val="000000"/>
              </w:rPr>
            </w:pPr>
            <w:r>
              <w:rPr>
                <w:rFonts w:hint="eastAsia" w:ascii="Times New Roman" w:hAnsi="Times New Roman"/>
                <w:color w:val="000000"/>
              </w:rPr>
              <w:t>招标内容、范围</w:t>
            </w:r>
          </w:p>
        </w:tc>
        <w:tc>
          <w:tcPr>
            <w:tcW w:w="2933" w:type="pct"/>
            <w:tcBorders>
              <w:top w:val="single" w:color="auto" w:sz="4" w:space="0"/>
              <w:left w:val="single" w:color="auto" w:sz="4" w:space="0"/>
              <w:bottom w:val="single" w:color="auto" w:sz="4" w:space="0"/>
              <w:right w:val="single" w:color="auto" w:sz="4" w:space="0"/>
            </w:tcBorders>
            <w:vAlign w:val="center"/>
          </w:tcPr>
          <w:p w14:paraId="25896EBB">
            <w:pPr>
              <w:spacing w:line="300" w:lineRule="auto"/>
              <w:rPr>
                <w:rFonts w:ascii="Times New Roman" w:hAnsi="Times New Roman"/>
                <w:color w:val="000000"/>
              </w:rPr>
            </w:pPr>
            <w:r>
              <w:rPr>
                <w:rFonts w:hint="eastAsia" w:ascii="Times New Roman" w:hAnsi="Times New Roman"/>
                <w:color w:val="000000"/>
              </w:rPr>
              <w:t>道路铣刨、水稳层铺设、沥青混凝土摊铺等施工内容，具体内容详见工程量清单</w:t>
            </w:r>
          </w:p>
        </w:tc>
      </w:tr>
      <w:tr w14:paraId="2A3B71A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6EB1044">
            <w:pPr>
              <w:spacing w:line="300" w:lineRule="auto"/>
              <w:rPr>
                <w:rFonts w:ascii="Times New Roman" w:hAnsi="Times New Roman"/>
                <w:color w:val="000000"/>
              </w:rPr>
            </w:pPr>
            <w:r>
              <w:rPr>
                <w:rFonts w:ascii="Times New Roman" w:hAnsi="Times New Roman"/>
                <w:color w:val="000000"/>
              </w:rPr>
              <w:t>1.3.2</w:t>
            </w:r>
          </w:p>
        </w:tc>
        <w:tc>
          <w:tcPr>
            <w:tcW w:w="1477" w:type="pct"/>
            <w:tcBorders>
              <w:top w:val="single" w:color="auto" w:sz="4" w:space="0"/>
              <w:left w:val="single" w:color="auto" w:sz="4" w:space="0"/>
              <w:bottom w:val="single" w:color="auto" w:sz="4" w:space="0"/>
              <w:right w:val="single" w:color="auto" w:sz="4" w:space="0"/>
            </w:tcBorders>
            <w:vAlign w:val="center"/>
          </w:tcPr>
          <w:p w14:paraId="02DBBD53">
            <w:pPr>
              <w:spacing w:line="300" w:lineRule="auto"/>
              <w:ind w:firstLine="420" w:firstLineChars="200"/>
              <w:rPr>
                <w:rFonts w:ascii="Times New Roman" w:hAnsi="Times New Roman"/>
                <w:color w:val="000000"/>
                <w:highlight w:val="yellow"/>
              </w:rPr>
            </w:pPr>
            <w:r>
              <w:rPr>
                <w:rFonts w:hint="eastAsia" w:ascii="Times New Roman" w:hAnsi="Times New Roman"/>
                <w:color w:val="000000"/>
              </w:rPr>
              <w:t>工期时间</w:t>
            </w:r>
          </w:p>
        </w:tc>
        <w:tc>
          <w:tcPr>
            <w:tcW w:w="2933" w:type="pct"/>
            <w:tcBorders>
              <w:top w:val="single" w:color="auto" w:sz="4" w:space="0"/>
              <w:left w:val="single" w:color="auto" w:sz="4" w:space="0"/>
              <w:bottom w:val="single" w:color="auto" w:sz="4" w:space="0"/>
              <w:right w:val="single" w:color="auto" w:sz="4" w:space="0"/>
            </w:tcBorders>
            <w:vAlign w:val="center"/>
          </w:tcPr>
          <w:p w14:paraId="0AE1CD24">
            <w:pPr>
              <w:spacing w:line="300" w:lineRule="auto"/>
              <w:rPr>
                <w:rFonts w:ascii="Times New Roman" w:hAnsi="Times New Roman"/>
                <w:color w:val="000000"/>
              </w:rPr>
            </w:pPr>
            <w:r>
              <w:rPr>
                <w:rFonts w:ascii="Times New Roman" w:hAnsi="Times New Roman"/>
                <w:color w:val="000000"/>
              </w:rPr>
              <w:t>本项目维修道路为厂区与矿区连接的唯一通道，必须最大限度缩短封闭时间，保障生产运输。为确保工程高效完成，特制定以下强制性工期节点，投标人必须据此安排施工方案与资源：</w:t>
            </w:r>
          </w:p>
          <w:p w14:paraId="4A0FCDD5">
            <w:pPr>
              <w:spacing w:line="360" w:lineRule="auto"/>
              <w:ind w:firstLine="420" w:firstLineChars="200"/>
              <w:rPr>
                <w:rFonts w:ascii="Times New Roman" w:hAnsi="Times New Roman"/>
                <w:color w:val="000000"/>
                <w:highlight w:val="none"/>
              </w:rPr>
            </w:pPr>
            <w:r>
              <w:rPr>
                <w:rFonts w:ascii="Times New Roman" w:hAnsi="Times New Roman"/>
                <w:color w:val="000000"/>
                <w:highlight w:val="none"/>
              </w:rPr>
              <w:t>一、关键工期节点</w:t>
            </w:r>
            <w:r>
              <w:rPr>
                <w:rFonts w:hint="eastAsia" w:ascii="Times New Roman" w:hAnsi="Times New Roman"/>
                <w:color w:val="000000"/>
                <w:highlight w:val="none"/>
                <w:lang w:eastAsia="zh-CN"/>
              </w:rPr>
              <w:t>（</w:t>
            </w:r>
            <w:r>
              <w:rPr>
                <w:rFonts w:hint="eastAsia" w:ascii="Times New Roman" w:hAnsi="Times New Roman"/>
                <w:color w:val="000000"/>
                <w:highlight w:val="none"/>
                <w:lang w:val="en-US" w:eastAsia="zh-CN"/>
              </w:rPr>
              <w:t>暂定时间：以甲方开工令为准</w:t>
            </w:r>
            <w:r>
              <w:rPr>
                <w:rFonts w:hint="eastAsia" w:ascii="Times New Roman" w:hAnsi="Times New Roman"/>
                <w:color w:val="000000"/>
                <w:highlight w:val="none"/>
                <w:lang w:eastAsia="zh-CN"/>
              </w:rPr>
              <w:t>）</w:t>
            </w:r>
          </w:p>
          <w:p w14:paraId="54ECFF60">
            <w:pPr>
              <w:spacing w:line="300" w:lineRule="auto"/>
              <w:rPr>
                <w:rFonts w:ascii="Times New Roman" w:hAnsi="Times New Roman"/>
                <w:color w:val="000000"/>
                <w:highlight w:val="none"/>
              </w:rPr>
            </w:pPr>
            <w:r>
              <w:rPr>
                <w:rFonts w:ascii="Times New Roman" w:hAnsi="Times New Roman"/>
                <w:color w:val="000000"/>
                <w:highlight w:val="none"/>
              </w:rPr>
              <w:t>第一阶段（基层施工）：2026年2月1</w:t>
            </w:r>
            <w:r>
              <w:rPr>
                <w:rFonts w:hint="eastAsia" w:ascii="Times New Roman" w:hAnsi="Times New Roman"/>
                <w:color w:val="000000"/>
                <w:highlight w:val="none"/>
              </w:rPr>
              <w:t>3</w:t>
            </w:r>
            <w:r>
              <w:rPr>
                <w:rFonts w:ascii="Times New Roman" w:hAnsi="Times New Roman"/>
                <w:color w:val="000000"/>
                <w:highlight w:val="none"/>
              </w:rPr>
              <w:t>日至2月14日（共</w:t>
            </w:r>
            <w:r>
              <w:rPr>
                <w:rFonts w:hint="eastAsia" w:ascii="Times New Roman" w:hAnsi="Times New Roman"/>
                <w:color w:val="000000"/>
                <w:highlight w:val="none"/>
              </w:rPr>
              <w:t>2</w:t>
            </w:r>
            <w:r>
              <w:rPr>
                <w:rFonts w:ascii="Times New Roman" w:hAnsi="Times New Roman"/>
                <w:color w:val="000000"/>
                <w:highlight w:val="none"/>
              </w:rPr>
              <w:t>天），必须完成全部道路的铣刨及水稳碎石基层的铺设与养护前工作。</w:t>
            </w:r>
          </w:p>
          <w:p w14:paraId="2782E9A6">
            <w:pPr>
              <w:spacing w:line="300" w:lineRule="auto"/>
              <w:rPr>
                <w:rFonts w:ascii="Times New Roman" w:hAnsi="Times New Roman"/>
                <w:color w:val="000000"/>
                <w:highlight w:val="none"/>
              </w:rPr>
            </w:pPr>
            <w:r>
              <w:rPr>
                <w:rFonts w:ascii="Times New Roman" w:hAnsi="Times New Roman"/>
                <w:color w:val="000000"/>
                <w:highlight w:val="none"/>
              </w:rPr>
              <w:t>第二阶段（面层及附属施工）：2026年2月24日至2月2</w:t>
            </w:r>
            <w:r>
              <w:rPr>
                <w:rFonts w:hint="eastAsia" w:ascii="Times New Roman" w:hAnsi="Times New Roman"/>
                <w:color w:val="000000"/>
                <w:highlight w:val="none"/>
              </w:rPr>
              <w:t>7</w:t>
            </w:r>
            <w:r>
              <w:rPr>
                <w:rFonts w:ascii="Times New Roman" w:hAnsi="Times New Roman"/>
                <w:color w:val="000000"/>
                <w:highlight w:val="none"/>
              </w:rPr>
              <w:t>日（共</w:t>
            </w:r>
            <w:r>
              <w:rPr>
                <w:rFonts w:hint="eastAsia" w:ascii="Times New Roman" w:hAnsi="Times New Roman"/>
                <w:color w:val="000000"/>
                <w:highlight w:val="none"/>
              </w:rPr>
              <w:t>4</w:t>
            </w:r>
            <w:r>
              <w:rPr>
                <w:rFonts w:ascii="Times New Roman" w:hAnsi="Times New Roman"/>
                <w:color w:val="000000"/>
                <w:highlight w:val="none"/>
              </w:rPr>
              <w:t>天），必须完成所有路沿石安装及沥青混凝土面层的摊铺、压实工作。</w:t>
            </w:r>
          </w:p>
          <w:p w14:paraId="6858BEB1">
            <w:pPr>
              <w:spacing w:line="300" w:lineRule="auto"/>
              <w:rPr>
                <w:rFonts w:ascii="Times New Roman" w:hAnsi="Times New Roman"/>
                <w:color w:val="000000"/>
                <w:highlight w:val="none"/>
              </w:rPr>
            </w:pPr>
            <w:r>
              <w:rPr>
                <w:rFonts w:hint="eastAsia" w:ascii="Times New Roman" w:hAnsi="Times New Roman"/>
                <w:color w:val="000000"/>
              </w:rPr>
              <w:t>二、</w:t>
            </w:r>
            <w:r>
              <w:rPr>
                <w:rFonts w:ascii="Times New Roman" w:hAnsi="Times New Roman"/>
                <w:color w:val="000000"/>
              </w:rPr>
              <w:t>总工期</w:t>
            </w:r>
            <w:r>
              <w:rPr>
                <w:rFonts w:hint="eastAsia" w:ascii="Times New Roman" w:hAnsi="Times New Roman"/>
                <w:color w:val="000000"/>
                <w:highlight w:val="none"/>
                <w:lang w:eastAsia="zh-CN"/>
              </w:rPr>
              <w:t>（不可抗力</w:t>
            </w:r>
            <w:r>
              <w:rPr>
                <w:rFonts w:hint="eastAsia" w:ascii="Times New Roman" w:hAnsi="Times New Roman"/>
                <w:color w:val="000000"/>
                <w:highlight w:val="none"/>
                <w:lang w:val="en-US" w:eastAsia="zh-CN"/>
              </w:rPr>
              <w:t>导致的工期顺延。</w:t>
            </w:r>
            <w:r>
              <w:rPr>
                <w:rFonts w:hint="eastAsia" w:ascii="Times New Roman" w:hAnsi="Times New Roman"/>
                <w:color w:val="000000"/>
                <w:highlight w:val="none"/>
                <w:lang w:eastAsia="zh-CN"/>
              </w:rPr>
              <w:t>）</w:t>
            </w:r>
          </w:p>
          <w:p w14:paraId="7AA9C11C">
            <w:pPr>
              <w:spacing w:line="300" w:lineRule="auto"/>
              <w:rPr>
                <w:rFonts w:ascii="Times New Roman" w:hAnsi="Times New Roman"/>
                <w:color w:val="000000"/>
              </w:rPr>
            </w:pPr>
            <w:r>
              <w:rPr>
                <w:rFonts w:ascii="Times New Roman" w:hAnsi="Times New Roman"/>
                <w:color w:val="000000"/>
              </w:rPr>
              <w:t>总有效施工工期为</w:t>
            </w:r>
            <w:r>
              <w:rPr>
                <w:rFonts w:hint="eastAsia" w:ascii="Times New Roman" w:hAnsi="Times New Roman"/>
                <w:color w:val="000000"/>
              </w:rPr>
              <w:t>6</w:t>
            </w:r>
            <w:r>
              <w:rPr>
                <w:rFonts w:ascii="Times New Roman" w:hAnsi="Times New Roman"/>
                <w:color w:val="000000"/>
              </w:rPr>
              <w:t>个日历日（具体日期见上）。中间间隔期为水稳层必要的养护期及春节假期，承包人应做好施工组织，确保在2026年2月2</w:t>
            </w:r>
            <w:r>
              <w:rPr>
                <w:rFonts w:hint="eastAsia" w:ascii="Times New Roman" w:hAnsi="Times New Roman"/>
                <w:color w:val="000000"/>
              </w:rPr>
              <w:t>8</w:t>
            </w:r>
            <w:r>
              <w:rPr>
                <w:rFonts w:ascii="Times New Roman" w:hAnsi="Times New Roman"/>
                <w:color w:val="000000"/>
              </w:rPr>
              <w:t>日前全面完工并</w:t>
            </w:r>
            <w:r>
              <w:rPr>
                <w:rFonts w:hint="eastAsia" w:ascii="Times New Roman" w:hAnsi="Times New Roman"/>
                <w:color w:val="000000"/>
              </w:rPr>
              <w:t>通车试行</w:t>
            </w:r>
            <w:r>
              <w:rPr>
                <w:rFonts w:ascii="Times New Roman" w:hAnsi="Times New Roman"/>
                <w:color w:val="000000"/>
              </w:rPr>
              <w:t>。</w:t>
            </w:r>
          </w:p>
          <w:p w14:paraId="79B039B7">
            <w:pPr>
              <w:spacing w:line="300" w:lineRule="auto"/>
              <w:rPr>
                <w:rFonts w:ascii="Times New Roman" w:hAnsi="Times New Roman"/>
                <w:color w:val="000000"/>
              </w:rPr>
            </w:pPr>
            <w:r>
              <w:rPr>
                <w:rFonts w:hint="eastAsia" w:ascii="Times New Roman" w:hAnsi="Times New Roman"/>
                <w:color w:val="000000"/>
              </w:rPr>
              <w:t>三、</w:t>
            </w:r>
            <w:r>
              <w:rPr>
                <w:rFonts w:ascii="Times New Roman" w:hAnsi="Times New Roman"/>
                <w:color w:val="000000"/>
              </w:rPr>
              <w:t>特别说明</w:t>
            </w:r>
          </w:p>
          <w:p w14:paraId="186C0C69">
            <w:pPr>
              <w:spacing w:line="300" w:lineRule="auto"/>
              <w:rPr>
                <w:rFonts w:ascii="Times New Roman" w:hAnsi="Times New Roman"/>
                <w:color w:val="000000"/>
              </w:rPr>
            </w:pPr>
            <w:r>
              <w:rPr>
                <w:rFonts w:ascii="Times New Roman" w:hAnsi="Times New Roman"/>
                <w:color w:val="000000"/>
              </w:rPr>
              <w:t>投标人须充分考虑节假日、冬季施工及养护周期等因素，在投标文件中提供详细的施工组织方案与工期保证措施。</w:t>
            </w:r>
          </w:p>
          <w:p w14:paraId="3BAA90F0">
            <w:pPr>
              <w:spacing w:line="300" w:lineRule="auto"/>
              <w:rPr>
                <w:rFonts w:ascii="Times New Roman" w:hAnsi="Times New Roman"/>
                <w:color w:val="000000"/>
                <w:highlight w:val="yellow"/>
              </w:rPr>
            </w:pPr>
          </w:p>
        </w:tc>
      </w:tr>
      <w:tr w14:paraId="55FAC1E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584003D">
            <w:pPr>
              <w:spacing w:line="300" w:lineRule="auto"/>
              <w:rPr>
                <w:rFonts w:ascii="Times New Roman" w:hAnsi="Times New Roman"/>
                <w:color w:val="000000"/>
              </w:rPr>
            </w:pPr>
            <w:r>
              <w:rPr>
                <w:rFonts w:ascii="Times New Roman" w:hAnsi="Times New Roman"/>
                <w:color w:val="000000"/>
              </w:rPr>
              <w:t>1.3.3</w:t>
            </w:r>
          </w:p>
        </w:tc>
        <w:tc>
          <w:tcPr>
            <w:tcW w:w="1477" w:type="pct"/>
            <w:tcBorders>
              <w:top w:val="single" w:color="auto" w:sz="4" w:space="0"/>
              <w:left w:val="single" w:color="auto" w:sz="4" w:space="0"/>
              <w:bottom w:val="single" w:color="auto" w:sz="4" w:space="0"/>
              <w:right w:val="single" w:color="auto" w:sz="4" w:space="0"/>
            </w:tcBorders>
            <w:vAlign w:val="center"/>
          </w:tcPr>
          <w:p w14:paraId="740A0590">
            <w:pPr>
              <w:spacing w:line="300" w:lineRule="auto"/>
              <w:ind w:firstLine="420" w:firstLineChars="200"/>
              <w:rPr>
                <w:rFonts w:ascii="Times New Roman" w:hAnsi="Times New Roman"/>
                <w:color w:val="000000"/>
              </w:rPr>
            </w:pPr>
            <w:r>
              <w:rPr>
                <w:rFonts w:hint="eastAsia" w:ascii="Times New Roman" w:hAnsi="Times New Roman"/>
                <w:color w:val="000000"/>
                <w:lang w:val="en-US" w:eastAsia="zh-CN"/>
              </w:rPr>
              <w:t>施工</w:t>
            </w:r>
            <w:r>
              <w:rPr>
                <w:rFonts w:hint="eastAsia" w:ascii="Times New Roman" w:hAnsi="Times New Roman"/>
                <w:color w:val="000000"/>
              </w:rPr>
              <w:t>质量要求</w:t>
            </w:r>
          </w:p>
        </w:tc>
        <w:tc>
          <w:tcPr>
            <w:tcW w:w="2933" w:type="pct"/>
            <w:tcBorders>
              <w:top w:val="single" w:color="auto" w:sz="4" w:space="0"/>
              <w:left w:val="single" w:color="auto" w:sz="4" w:space="0"/>
              <w:bottom w:val="single" w:color="auto" w:sz="4" w:space="0"/>
              <w:right w:val="single" w:color="auto" w:sz="4" w:space="0"/>
            </w:tcBorders>
            <w:vAlign w:val="center"/>
          </w:tcPr>
          <w:p w14:paraId="3F846A9C">
            <w:pPr>
              <w:spacing w:line="300" w:lineRule="auto"/>
              <w:rPr>
                <w:rFonts w:ascii="Times New Roman" w:hAnsi="Times New Roman"/>
                <w:color w:val="000000"/>
              </w:rPr>
            </w:pPr>
            <w:r>
              <w:rPr>
                <w:rFonts w:hint="eastAsia" w:ascii="Times New Roman" w:hAnsi="Times New Roman"/>
                <w:color w:val="000000"/>
              </w:rPr>
              <w:t>符合工程施工质量验收标准及现行相关规范规程，达到合格质量标准</w:t>
            </w:r>
          </w:p>
        </w:tc>
      </w:tr>
      <w:tr w14:paraId="7BD40EE6">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003A17D">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1.3.4</w:t>
            </w:r>
          </w:p>
        </w:tc>
        <w:tc>
          <w:tcPr>
            <w:tcW w:w="1477" w:type="pct"/>
            <w:tcBorders>
              <w:top w:val="single" w:color="auto" w:sz="4" w:space="0"/>
              <w:left w:val="single" w:color="auto" w:sz="4" w:space="0"/>
              <w:bottom w:val="single" w:color="auto" w:sz="4" w:space="0"/>
              <w:right w:val="single" w:color="auto" w:sz="4" w:space="0"/>
            </w:tcBorders>
            <w:vAlign w:val="center"/>
          </w:tcPr>
          <w:p w14:paraId="268E0281">
            <w:pPr>
              <w:spacing w:line="300" w:lineRule="auto"/>
              <w:ind w:firstLine="420" w:firstLineChars="200"/>
              <w:rPr>
                <w:rFonts w:hint="default" w:ascii="Times New Roman" w:hAnsi="Times New Roman"/>
                <w:color w:val="000000"/>
                <w:lang w:val="en-US" w:eastAsia="zh-CN"/>
              </w:rPr>
            </w:pPr>
            <w:r>
              <w:rPr>
                <w:rFonts w:hint="eastAsia" w:ascii="Times New Roman" w:hAnsi="Times New Roman"/>
                <w:color w:val="000000"/>
                <w:lang w:val="en-US" w:eastAsia="zh-CN"/>
              </w:rPr>
              <w:t>材料质量要求</w:t>
            </w:r>
          </w:p>
        </w:tc>
        <w:tc>
          <w:tcPr>
            <w:tcW w:w="2933" w:type="pct"/>
            <w:tcBorders>
              <w:top w:val="single" w:color="auto" w:sz="4" w:space="0"/>
              <w:left w:val="single" w:color="auto" w:sz="4" w:space="0"/>
              <w:bottom w:val="single" w:color="auto" w:sz="4" w:space="0"/>
              <w:right w:val="single" w:color="auto" w:sz="4" w:space="0"/>
            </w:tcBorders>
            <w:vAlign w:val="center"/>
          </w:tcPr>
          <w:p w14:paraId="7F7EF7ED">
            <w:pPr>
              <w:spacing w:line="300" w:lineRule="auto"/>
              <w:rPr>
                <w:rFonts w:hint="default" w:ascii="Times New Roman" w:hAnsi="Times New Roman"/>
                <w:color w:val="000000"/>
              </w:rPr>
            </w:pPr>
            <w:r>
              <w:rPr>
                <w:rFonts w:hint="default" w:ascii="Times New Roman" w:hAnsi="Times New Roman"/>
                <w:color w:val="000000"/>
              </w:rPr>
              <w:t>本项目为矿山主干道系统性维修工程，修复后的道路</w:t>
            </w:r>
            <w:r>
              <w:rPr>
                <w:rFonts w:hint="eastAsia" w:ascii="Times New Roman" w:hAnsi="Times New Roman"/>
                <w:color w:val="000000"/>
                <w:lang w:val="en-US" w:eastAsia="zh-CN"/>
              </w:rPr>
              <w:t>需</w:t>
            </w:r>
            <w:r>
              <w:rPr>
                <w:rFonts w:hint="default" w:ascii="Times New Roman" w:hAnsi="Times New Roman"/>
                <w:color w:val="000000"/>
              </w:rPr>
              <w:t>长期承受高强度、高频次的重载交通荷载。为确保道路面层具备极高的抗车辙、抗疲劳、耐久及抗滑性能，其核心材料——沥青及相关混合料的质量是决定工程成败的关键。同时，沥青材料对温度敏感，长距离运输易导致温度离析与性能衰减，直接影响摊铺与最终路用效果。因此，严格控制沥青材料质量，并确保其供应源具备稳定生产高品质产品的能力与合理的运输半径，</w:t>
            </w:r>
            <w:r>
              <w:rPr>
                <w:rFonts w:hint="eastAsia" w:ascii="Times New Roman" w:hAnsi="Times New Roman"/>
                <w:color w:val="000000"/>
                <w:lang w:val="en-US" w:eastAsia="zh-CN"/>
              </w:rPr>
              <w:t>特规定以下要求：</w:t>
            </w:r>
          </w:p>
          <w:p w14:paraId="3BB25A46">
            <w:pPr>
              <w:spacing w:line="300" w:lineRule="auto"/>
              <w:rPr>
                <w:rFonts w:hint="eastAsia" w:ascii="Times New Roman" w:hAnsi="Times New Roman"/>
                <w:color w:val="000000"/>
                <w:lang w:eastAsia="zh-CN"/>
              </w:rPr>
            </w:pPr>
            <w:r>
              <w:rPr>
                <w:rFonts w:hint="default" w:ascii="Times New Roman" w:hAnsi="Times New Roman"/>
                <w:color w:val="000000"/>
              </w:rPr>
              <w:t>核心沥青材料技术指标要求</w:t>
            </w:r>
          </w:p>
          <w:p w14:paraId="1FD4BC9E">
            <w:pPr>
              <w:spacing w:line="300" w:lineRule="auto"/>
              <w:rPr>
                <w:rFonts w:hint="eastAsia" w:ascii="Times New Roman" w:hAnsi="Times New Roman"/>
                <w:color w:val="000000"/>
                <w:lang w:eastAsia="zh-CN"/>
              </w:rPr>
            </w:pPr>
            <w:r>
              <w:rPr>
                <w:rFonts w:hint="eastAsia" w:ascii="Times New Roman" w:hAnsi="Times New Roman"/>
                <w:color w:val="000000"/>
                <w:lang w:val="en-US" w:eastAsia="zh-CN"/>
              </w:rPr>
              <w:t>1.1、</w:t>
            </w:r>
            <w:r>
              <w:rPr>
                <w:rFonts w:hint="default" w:ascii="Times New Roman" w:hAnsi="Times New Roman"/>
                <w:color w:val="000000"/>
              </w:rPr>
              <w:t>所有沥青材料必须符合但不限于《公路沥青路面施工技术规范》等国家及行业最新标准</w:t>
            </w:r>
            <w:r>
              <w:rPr>
                <w:rFonts w:hint="eastAsia" w:ascii="Times New Roman" w:hAnsi="Times New Roman"/>
                <w:color w:val="000000"/>
                <w:lang w:eastAsia="zh-CN"/>
              </w:rPr>
              <w:t>。</w:t>
            </w:r>
          </w:p>
          <w:p w14:paraId="7ECD36C2">
            <w:pPr>
              <w:spacing w:line="300" w:lineRule="auto"/>
              <w:rPr>
                <w:rFonts w:hint="default" w:ascii="Times New Roman" w:hAnsi="Times New Roman"/>
                <w:color w:val="000000"/>
              </w:rPr>
            </w:pPr>
            <w:r>
              <w:rPr>
                <w:rFonts w:hint="eastAsia" w:ascii="Times New Roman" w:hAnsi="Times New Roman"/>
                <w:color w:val="000000"/>
                <w:lang w:val="en-US" w:eastAsia="zh-CN"/>
              </w:rPr>
              <w:t>1.2</w:t>
            </w:r>
            <w:r>
              <w:rPr>
                <w:rFonts w:hint="default" w:ascii="Times New Roman" w:hAnsi="Times New Roman"/>
                <w:color w:val="000000"/>
              </w:rPr>
              <w:t>基质沥青：用于生产SBS改性沥青、乳化沥青的基质沥青，必须为全新生产的石油沥青，严禁使用任何来源的回收沥青路面材料（RAP）、废旧沥青或再生沥青。</w:t>
            </w:r>
          </w:p>
          <w:p w14:paraId="5FC6AC3E">
            <w:pPr>
              <w:spacing w:line="300" w:lineRule="auto"/>
              <w:rPr>
                <w:rFonts w:hint="default" w:ascii="Times New Roman" w:hAnsi="Times New Roman"/>
                <w:color w:val="000000"/>
              </w:rPr>
            </w:pPr>
            <w:r>
              <w:rPr>
                <w:rFonts w:hint="eastAsia" w:ascii="Times New Roman" w:hAnsi="Times New Roman"/>
                <w:color w:val="000000"/>
                <w:lang w:val="en-US" w:eastAsia="zh-CN"/>
              </w:rPr>
              <w:t>1.3、</w:t>
            </w:r>
            <w:r>
              <w:rPr>
                <w:rFonts w:hint="default" w:ascii="Times New Roman" w:hAnsi="Times New Roman"/>
                <w:color w:val="000000"/>
              </w:rPr>
              <w:t>SBS改性剂及添加剂：必须为原生全新材料，性能指标稳定。</w:t>
            </w:r>
          </w:p>
          <w:p w14:paraId="3B3D5AEC">
            <w:pPr>
              <w:spacing w:line="300" w:lineRule="auto"/>
              <w:rPr>
                <w:rFonts w:hint="default" w:ascii="Times New Roman" w:hAnsi="Times New Roman"/>
                <w:color w:val="000000"/>
                <w:lang w:val="en-US" w:eastAsia="zh-CN"/>
              </w:rPr>
            </w:pPr>
            <w:r>
              <w:rPr>
                <w:rFonts w:hint="eastAsia" w:ascii="Times New Roman" w:hAnsi="Times New Roman"/>
                <w:color w:val="000000"/>
                <w:lang w:val="en-US" w:eastAsia="zh-CN"/>
              </w:rPr>
              <w:t>1.4、</w:t>
            </w:r>
            <w:r>
              <w:rPr>
                <w:rFonts w:hint="default" w:ascii="Times New Roman" w:hAnsi="Times New Roman"/>
                <w:color w:val="000000"/>
              </w:rPr>
              <w:t>供应商须有能力提供其基质沥青的原始采购来源及证明（如基础沥青的出厂质量报告）</w:t>
            </w:r>
          </w:p>
          <w:p w14:paraId="6B64A394">
            <w:pPr>
              <w:spacing w:line="300" w:lineRule="auto"/>
              <w:rPr>
                <w:rFonts w:hint="eastAsia" w:ascii="Times New Roman" w:hAnsi="Times New Roman"/>
                <w:color w:val="000000"/>
              </w:rPr>
            </w:pPr>
            <w:r>
              <w:rPr>
                <w:rFonts w:hint="eastAsia" w:ascii="Times New Roman" w:hAnsi="Times New Roman"/>
                <w:color w:val="000000"/>
                <w:lang w:val="en-US" w:eastAsia="zh-CN"/>
              </w:rPr>
              <w:t>2、材料供应商</w:t>
            </w:r>
            <w:r>
              <w:rPr>
                <w:rFonts w:hint="default" w:ascii="Times New Roman" w:hAnsi="Times New Roman"/>
                <w:color w:val="000000"/>
              </w:rPr>
              <w:t>资格与保障能力要求</w:t>
            </w:r>
          </w:p>
          <w:p w14:paraId="491649BE">
            <w:pPr>
              <w:spacing w:line="300" w:lineRule="auto"/>
              <w:rPr>
                <w:rFonts w:hint="eastAsia" w:ascii="Times New Roman" w:hAnsi="Times New Roman"/>
                <w:color w:val="000000"/>
                <w:lang w:eastAsia="zh-CN"/>
              </w:rPr>
            </w:pPr>
            <w:r>
              <w:rPr>
                <w:rFonts w:hint="eastAsia" w:ascii="Times New Roman" w:hAnsi="Times New Roman"/>
                <w:color w:val="000000"/>
                <w:lang w:val="en-US" w:eastAsia="zh-CN"/>
              </w:rPr>
              <w:t>2.1、</w:t>
            </w:r>
            <w:r>
              <w:rPr>
                <w:rFonts w:hint="default" w:ascii="Times New Roman" w:hAnsi="Times New Roman"/>
                <w:color w:val="000000"/>
              </w:rPr>
              <w:t>生产资质与能力：具备合法的生产经营资格，拥有固定的、先进的生产基地，SBS改性沥青生产线必须采用成熟的胶体磨或高剪切工艺</w:t>
            </w:r>
            <w:r>
              <w:rPr>
                <w:rFonts w:hint="eastAsia" w:ascii="Times New Roman" w:hAnsi="Times New Roman"/>
                <w:color w:val="000000"/>
                <w:lang w:eastAsia="zh-CN"/>
              </w:rPr>
              <w:t>。</w:t>
            </w:r>
          </w:p>
          <w:p w14:paraId="0F283E33">
            <w:pPr>
              <w:spacing w:line="300" w:lineRule="auto"/>
              <w:rPr>
                <w:rFonts w:hint="eastAsia" w:ascii="Times New Roman" w:hAnsi="Times New Roman"/>
                <w:color w:val="000000"/>
              </w:rPr>
            </w:pPr>
            <w:r>
              <w:rPr>
                <w:rFonts w:hint="eastAsia" w:ascii="Times New Roman" w:hAnsi="Times New Roman"/>
                <w:color w:val="000000"/>
                <w:lang w:val="en-US" w:eastAsia="zh-CN"/>
              </w:rPr>
              <w:t>2.2、</w:t>
            </w:r>
            <w:r>
              <w:rPr>
                <w:rFonts w:hint="default" w:ascii="Times New Roman" w:hAnsi="Times New Roman"/>
                <w:color w:val="000000"/>
              </w:rPr>
              <w:t>质量保证体系：通过ISO9001质量管理体系认证，具备完善的实验室检测能力，能对上述所有关键指标进行自检，并承诺接受招标人及第三方机构的抽检。</w:t>
            </w:r>
          </w:p>
          <w:p w14:paraId="4958CE42">
            <w:pPr>
              <w:spacing w:line="300" w:lineRule="auto"/>
              <w:rPr>
                <w:rFonts w:hint="default" w:ascii="Times New Roman" w:hAnsi="Times New Roman"/>
                <w:color w:val="000000"/>
              </w:rPr>
            </w:pPr>
            <w:r>
              <w:rPr>
                <w:rFonts w:hint="eastAsia" w:ascii="Times New Roman" w:hAnsi="Times New Roman"/>
                <w:color w:val="000000"/>
                <w:lang w:val="en-US" w:eastAsia="zh-CN"/>
              </w:rPr>
              <w:t>2.3、</w:t>
            </w:r>
            <w:r>
              <w:rPr>
                <w:rFonts w:hint="default" w:ascii="Times New Roman" w:hAnsi="Times New Roman"/>
                <w:color w:val="000000"/>
              </w:rPr>
              <w:t>本地化服务与成功经验：为保障供应时效性与材料温度稳定性，优先推荐运输半径在</w:t>
            </w:r>
            <w:r>
              <w:rPr>
                <w:rFonts w:hint="eastAsia" w:ascii="Times New Roman" w:hAnsi="Times New Roman"/>
                <w:color w:val="000000"/>
                <w:lang w:val="en-US" w:eastAsia="zh-CN"/>
              </w:rPr>
              <w:t>50</w:t>
            </w:r>
            <w:r>
              <w:rPr>
                <w:rFonts w:hint="default" w:ascii="Times New Roman" w:hAnsi="Times New Roman"/>
                <w:color w:val="000000"/>
              </w:rPr>
              <w:t>公里范围内、能提供24小时内应急响应服务的生产供应商。</w:t>
            </w:r>
          </w:p>
          <w:p w14:paraId="60B7D910">
            <w:pPr>
              <w:spacing w:line="300" w:lineRule="auto"/>
              <w:rPr>
                <w:rFonts w:hint="default" w:ascii="Times New Roman" w:hAnsi="Times New Roman"/>
                <w:color w:val="000000"/>
              </w:rPr>
            </w:pPr>
            <w:r>
              <w:rPr>
                <w:rFonts w:hint="eastAsia" w:ascii="Times New Roman" w:hAnsi="Times New Roman"/>
                <w:color w:val="000000"/>
                <w:lang w:val="en-US" w:eastAsia="zh-CN"/>
              </w:rPr>
              <w:t>2.4、</w:t>
            </w:r>
            <w:r>
              <w:rPr>
                <w:rFonts w:hint="default" w:ascii="Times New Roman" w:hAnsi="Times New Roman"/>
                <w:color w:val="000000"/>
              </w:rPr>
              <w:t>供货承诺：</w:t>
            </w:r>
            <w:r>
              <w:rPr>
                <w:rFonts w:hint="eastAsia" w:ascii="Times New Roman" w:hAnsi="Times New Roman"/>
                <w:color w:val="000000"/>
                <w:lang w:val="en-US" w:eastAsia="zh-CN"/>
              </w:rPr>
              <w:t>投标单位</w:t>
            </w:r>
            <w:r>
              <w:rPr>
                <w:rFonts w:hint="default" w:ascii="Times New Roman" w:hAnsi="Times New Roman"/>
                <w:color w:val="000000"/>
              </w:rPr>
              <w:t>必须针对本项目向招标人出具《</w:t>
            </w:r>
            <w:r>
              <w:rPr>
                <w:rFonts w:hint="eastAsia" w:ascii="Times New Roman" w:hAnsi="Times New Roman"/>
                <w:color w:val="000000"/>
                <w:lang w:val="en-US" w:eastAsia="zh-CN"/>
              </w:rPr>
              <w:t>材料</w:t>
            </w:r>
            <w:r>
              <w:rPr>
                <w:rFonts w:hint="default" w:ascii="Times New Roman" w:hAnsi="Times New Roman"/>
                <w:color w:val="000000"/>
              </w:rPr>
              <w:t>质量保证承诺函》，明确承诺按技术要求的最高标准供货，并承担因材料质量引发的一切责任。</w:t>
            </w:r>
          </w:p>
          <w:p w14:paraId="756FEFB2">
            <w:pPr>
              <w:spacing w:line="300" w:lineRule="auto"/>
              <w:rPr>
                <w:rFonts w:hint="default" w:ascii="Times New Roman" w:hAnsi="Times New Roman"/>
                <w:color w:val="000000"/>
              </w:rPr>
            </w:pPr>
            <w:r>
              <w:rPr>
                <w:rFonts w:hint="eastAsia" w:ascii="Times New Roman" w:hAnsi="Times New Roman"/>
                <w:color w:val="000000"/>
                <w:lang w:val="en-US" w:eastAsia="zh-CN"/>
              </w:rPr>
              <w:t>2.5</w:t>
            </w:r>
            <w:r>
              <w:rPr>
                <w:rFonts w:hint="default" w:ascii="Times New Roman" w:hAnsi="Times New Roman"/>
                <w:color w:val="000000"/>
              </w:rPr>
              <w:t>企业实力与稳定性：优先推荐生产经营稳定、资金实力雄厚、社会信誉优良的供应商。</w:t>
            </w:r>
          </w:p>
          <w:p w14:paraId="64A0191C">
            <w:pPr>
              <w:spacing w:line="300" w:lineRule="auto"/>
              <w:rPr>
                <w:rFonts w:hint="eastAsia" w:ascii="Times New Roman" w:hAnsi="Times New Roman"/>
                <w:color w:val="000000"/>
              </w:rPr>
            </w:pPr>
            <w:r>
              <w:rPr>
                <w:rFonts w:hint="default" w:ascii="Times New Roman" w:hAnsi="Times New Roman"/>
                <w:color w:val="000000"/>
              </w:rPr>
              <w:t>推荐具备综合能力的</w:t>
            </w:r>
            <w:r>
              <w:rPr>
                <w:rFonts w:hint="eastAsia" w:ascii="Times New Roman" w:hAnsi="Times New Roman"/>
                <w:color w:val="000000"/>
                <w:lang w:val="en-US" w:eastAsia="zh-CN"/>
              </w:rPr>
              <w:t>材料供应商</w:t>
            </w:r>
            <w:r>
              <w:rPr>
                <w:rFonts w:hint="default" w:ascii="Times New Roman" w:hAnsi="Times New Roman"/>
                <w:color w:val="000000"/>
              </w:rPr>
              <w:t>包括但不限于：章丘市金通路桥有限公司</w:t>
            </w:r>
            <w:r>
              <w:rPr>
                <w:rFonts w:hint="eastAsia" w:ascii="Times New Roman" w:hAnsi="Times New Roman"/>
                <w:color w:val="000000"/>
                <w:lang w:val="en-US" w:eastAsia="zh-CN"/>
              </w:rPr>
              <w:t>下属沥青拌合站</w:t>
            </w:r>
            <w:r>
              <w:rPr>
                <w:rFonts w:hint="default" w:ascii="Times New Roman" w:hAnsi="Times New Roman"/>
                <w:color w:val="000000"/>
              </w:rPr>
              <w:t>、济南通达公路工程有限公司</w:t>
            </w:r>
            <w:r>
              <w:rPr>
                <w:rFonts w:hint="eastAsia" w:ascii="Times New Roman" w:hAnsi="Times New Roman"/>
                <w:color w:val="000000"/>
                <w:lang w:val="en-US" w:eastAsia="zh-CN"/>
              </w:rPr>
              <w:t>下属沥青拌合站</w:t>
            </w:r>
            <w:r>
              <w:rPr>
                <w:rFonts w:hint="default" w:ascii="Times New Roman" w:hAnsi="Times New Roman"/>
                <w:color w:val="000000"/>
              </w:rPr>
              <w:t>、济南市章丘区市政工程处有限公司</w:t>
            </w:r>
            <w:r>
              <w:rPr>
                <w:rFonts w:hint="eastAsia" w:ascii="Times New Roman" w:hAnsi="Times New Roman"/>
                <w:color w:val="000000"/>
                <w:lang w:val="en-US" w:eastAsia="zh-CN"/>
              </w:rPr>
              <w:t>下属沥青拌合站</w:t>
            </w:r>
            <w:r>
              <w:rPr>
                <w:rFonts w:hint="default" w:ascii="Times New Roman" w:hAnsi="Times New Roman"/>
                <w:color w:val="000000"/>
              </w:rPr>
              <w:t>，或其他具备同等生产规模、技术实力、质量口碑及本地化服务保障能力的知名</w:t>
            </w:r>
            <w:r>
              <w:rPr>
                <w:rFonts w:hint="eastAsia" w:ascii="Times New Roman" w:hAnsi="Times New Roman"/>
                <w:color w:val="000000"/>
                <w:lang w:val="en-US" w:eastAsia="zh-CN"/>
              </w:rPr>
              <w:t>材料生产</w:t>
            </w:r>
            <w:r>
              <w:rPr>
                <w:rFonts w:hint="default" w:ascii="Times New Roman" w:hAnsi="Times New Roman"/>
                <w:color w:val="000000"/>
              </w:rPr>
              <w:t>厂家。</w:t>
            </w:r>
          </w:p>
          <w:p w14:paraId="26094111">
            <w:pPr>
              <w:spacing w:line="300" w:lineRule="auto"/>
              <w:rPr>
                <w:rFonts w:hint="eastAsia" w:ascii="Times New Roman" w:hAnsi="Times New Roman"/>
                <w:color w:val="000000"/>
              </w:rPr>
            </w:pPr>
            <w:r>
              <w:rPr>
                <w:rFonts w:hint="eastAsia" w:ascii="Times New Roman" w:hAnsi="Times New Roman"/>
                <w:color w:val="000000"/>
                <w:lang w:val="en-US" w:eastAsia="zh-CN"/>
              </w:rPr>
              <w:t>3、</w:t>
            </w:r>
            <w:r>
              <w:rPr>
                <w:rFonts w:hint="default" w:ascii="Times New Roman" w:hAnsi="Times New Roman"/>
                <w:color w:val="000000"/>
              </w:rPr>
              <w:t>验证与管理</w:t>
            </w:r>
          </w:p>
          <w:p w14:paraId="26630B21">
            <w:pPr>
              <w:spacing w:line="300" w:lineRule="auto"/>
              <w:rPr>
                <w:rFonts w:hint="eastAsia" w:ascii="Times New Roman" w:hAnsi="Times New Roman"/>
                <w:color w:val="000000"/>
              </w:rPr>
            </w:pPr>
            <w:r>
              <w:rPr>
                <w:rFonts w:hint="eastAsia" w:ascii="Times New Roman" w:hAnsi="Times New Roman"/>
                <w:color w:val="000000"/>
                <w:lang w:val="en-US" w:eastAsia="zh-CN"/>
              </w:rPr>
              <w:t>3.1、</w:t>
            </w:r>
            <w:r>
              <w:rPr>
                <w:rFonts w:hint="default" w:ascii="Times New Roman" w:hAnsi="Times New Roman"/>
                <w:color w:val="000000"/>
              </w:rPr>
              <w:t>备案：中标人须在</w:t>
            </w:r>
            <w:r>
              <w:rPr>
                <w:rFonts w:hint="eastAsia" w:ascii="Times New Roman" w:hAnsi="Times New Roman"/>
                <w:color w:val="000000"/>
                <w:lang w:val="en-US" w:eastAsia="zh-CN"/>
              </w:rPr>
              <w:t>确定中标</w:t>
            </w:r>
            <w:r>
              <w:rPr>
                <w:rFonts w:hint="default" w:ascii="Times New Roman" w:hAnsi="Times New Roman"/>
                <w:color w:val="000000"/>
              </w:rPr>
              <w:t>后1日内，将拟定的沥青材料供应商全套资质报招标人书面备案。</w:t>
            </w:r>
          </w:p>
          <w:p w14:paraId="4AB2969D">
            <w:pPr>
              <w:spacing w:line="300" w:lineRule="auto"/>
              <w:rPr>
                <w:rFonts w:hint="eastAsia" w:ascii="Times New Roman" w:hAnsi="Times New Roman"/>
                <w:color w:val="000000"/>
              </w:rPr>
            </w:pPr>
            <w:r>
              <w:rPr>
                <w:rFonts w:hint="eastAsia" w:ascii="Times New Roman" w:hAnsi="Times New Roman"/>
                <w:color w:val="000000"/>
                <w:lang w:val="en-US" w:eastAsia="zh-CN"/>
              </w:rPr>
              <w:t>3.2、</w:t>
            </w:r>
            <w:r>
              <w:rPr>
                <w:rFonts w:hint="default" w:ascii="Times New Roman" w:hAnsi="Times New Roman"/>
                <w:color w:val="000000"/>
              </w:rPr>
              <w:t>验收：每一批次沥青材料进场前，中标人必须提供该批次的出厂合格证及全套检测报告</w:t>
            </w:r>
            <w:r>
              <w:rPr>
                <w:rFonts w:hint="eastAsia" w:ascii="Times New Roman" w:hAnsi="Times New Roman"/>
                <w:color w:val="000000"/>
                <w:lang w:eastAsia="zh-CN"/>
              </w:rPr>
              <w:t>，</w:t>
            </w:r>
            <w:r>
              <w:rPr>
                <w:rFonts w:hint="default" w:ascii="Times New Roman" w:hAnsi="Times New Roman"/>
                <w:color w:val="000000"/>
              </w:rPr>
              <w:t>任何不符合本技术要求的材料将被无条件清退，由此造成的损失由中标人承担。</w:t>
            </w:r>
          </w:p>
          <w:p w14:paraId="2C9DA83C">
            <w:pPr>
              <w:spacing w:line="300" w:lineRule="auto"/>
              <w:rPr>
                <w:rFonts w:hint="eastAsia" w:ascii="Times New Roman" w:hAnsi="Times New Roman"/>
                <w:color w:val="000000"/>
              </w:rPr>
            </w:pPr>
          </w:p>
        </w:tc>
      </w:tr>
      <w:tr w14:paraId="2AFD7D37">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FEDB5F4">
            <w:pPr>
              <w:spacing w:line="300" w:lineRule="auto"/>
              <w:rPr>
                <w:rFonts w:hint="eastAsia" w:ascii="Times New Roman" w:hAnsi="Times New Roman" w:eastAsia="等线"/>
                <w:color w:val="000000"/>
                <w:lang w:val="en-US" w:eastAsia="zh-CN"/>
              </w:rPr>
            </w:pPr>
            <w:r>
              <w:rPr>
                <w:rFonts w:hint="eastAsia" w:ascii="Times New Roman" w:hAnsi="Times New Roman"/>
                <w:color w:val="000000"/>
              </w:rPr>
              <w:t>1.3.</w:t>
            </w:r>
            <w:r>
              <w:rPr>
                <w:rFonts w:hint="eastAsia" w:ascii="Times New Roman" w:hAnsi="Times New Roman"/>
                <w:color w:val="000000"/>
                <w:lang w:val="en-US" w:eastAsia="zh-CN"/>
              </w:rPr>
              <w:t>5</w:t>
            </w:r>
          </w:p>
        </w:tc>
        <w:tc>
          <w:tcPr>
            <w:tcW w:w="1477" w:type="pct"/>
            <w:tcBorders>
              <w:top w:val="single" w:color="auto" w:sz="4" w:space="0"/>
              <w:left w:val="single" w:color="auto" w:sz="4" w:space="0"/>
              <w:bottom w:val="single" w:color="auto" w:sz="4" w:space="0"/>
              <w:right w:val="single" w:color="auto" w:sz="4" w:space="0"/>
            </w:tcBorders>
            <w:vAlign w:val="center"/>
          </w:tcPr>
          <w:p w14:paraId="2D6A0EDC">
            <w:pPr>
              <w:spacing w:line="300" w:lineRule="auto"/>
              <w:ind w:firstLine="420" w:firstLineChars="200"/>
              <w:rPr>
                <w:rFonts w:ascii="Times New Roman" w:hAnsi="Times New Roman"/>
                <w:color w:val="000000"/>
              </w:rPr>
            </w:pPr>
            <w:r>
              <w:rPr>
                <w:rFonts w:hint="eastAsia" w:ascii="Times New Roman" w:hAnsi="Times New Roman"/>
                <w:color w:val="000000"/>
              </w:rPr>
              <w:t>质量缺陷修复期</w:t>
            </w:r>
          </w:p>
        </w:tc>
        <w:tc>
          <w:tcPr>
            <w:tcW w:w="2933" w:type="pct"/>
            <w:tcBorders>
              <w:top w:val="single" w:color="auto" w:sz="4" w:space="0"/>
              <w:left w:val="single" w:color="auto" w:sz="4" w:space="0"/>
              <w:bottom w:val="single" w:color="auto" w:sz="4" w:space="0"/>
              <w:right w:val="single" w:color="auto" w:sz="4" w:space="0"/>
            </w:tcBorders>
            <w:vAlign w:val="center"/>
          </w:tcPr>
          <w:p w14:paraId="58C8D0C2">
            <w:pPr>
              <w:spacing w:line="300" w:lineRule="auto"/>
              <w:rPr>
                <w:rFonts w:ascii="Times New Roman" w:hAnsi="Times New Roman"/>
                <w:color w:val="000000"/>
              </w:rPr>
            </w:pPr>
            <w:r>
              <w:rPr>
                <w:rFonts w:hint="eastAsia" w:ascii="Times New Roman" w:hAnsi="Times New Roman"/>
                <w:color w:val="000000"/>
              </w:rPr>
              <w:t>两年</w:t>
            </w:r>
          </w:p>
        </w:tc>
      </w:tr>
      <w:tr w14:paraId="50757C41">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9B97F8B">
            <w:pPr>
              <w:spacing w:line="300" w:lineRule="auto"/>
              <w:rPr>
                <w:rFonts w:ascii="Times New Roman" w:hAnsi="Times New Roman"/>
                <w:color w:val="000000"/>
              </w:rPr>
            </w:pPr>
            <w:r>
              <w:rPr>
                <w:rFonts w:ascii="Times New Roman" w:hAnsi="Times New Roman"/>
                <w:color w:val="000000"/>
              </w:rPr>
              <w:t>1.4.1</w:t>
            </w:r>
          </w:p>
        </w:tc>
        <w:tc>
          <w:tcPr>
            <w:tcW w:w="1477" w:type="pct"/>
            <w:tcBorders>
              <w:top w:val="single" w:color="auto" w:sz="4" w:space="0"/>
              <w:left w:val="single" w:color="auto" w:sz="4" w:space="0"/>
              <w:bottom w:val="single" w:color="auto" w:sz="4" w:space="0"/>
              <w:right w:val="single" w:color="auto" w:sz="4" w:space="0"/>
            </w:tcBorders>
            <w:vAlign w:val="center"/>
          </w:tcPr>
          <w:p w14:paraId="3C5EEC29">
            <w:pPr>
              <w:spacing w:line="300" w:lineRule="auto"/>
              <w:rPr>
                <w:rFonts w:ascii="Times New Roman" w:hAnsi="Times New Roman"/>
                <w:color w:val="000000"/>
              </w:rPr>
            </w:pPr>
            <w:r>
              <w:rPr>
                <w:rFonts w:hint="eastAsia" w:ascii="Times New Roman" w:hAnsi="Times New Roman"/>
                <w:color w:val="000000"/>
              </w:rPr>
              <w:t>投标人资质条件、能力和信誉</w:t>
            </w:r>
          </w:p>
        </w:tc>
        <w:tc>
          <w:tcPr>
            <w:tcW w:w="2933" w:type="pct"/>
            <w:tcBorders>
              <w:top w:val="single" w:color="auto" w:sz="4" w:space="0"/>
              <w:left w:val="single" w:color="auto" w:sz="4" w:space="0"/>
              <w:bottom w:val="single" w:color="auto" w:sz="4" w:space="0"/>
              <w:right w:val="single" w:color="auto" w:sz="4" w:space="0"/>
            </w:tcBorders>
            <w:vAlign w:val="center"/>
          </w:tcPr>
          <w:p w14:paraId="2096B39E">
            <w:pPr>
              <w:spacing w:line="300" w:lineRule="auto"/>
              <w:rPr>
                <w:rFonts w:ascii="Times New Roman" w:hAnsi="Times New Roman"/>
                <w:color w:val="000000"/>
              </w:rPr>
            </w:pPr>
            <w:r>
              <w:rPr>
                <w:rFonts w:hint="eastAsia" w:ascii="Times New Roman" w:hAnsi="Times New Roman"/>
                <w:color w:val="000000"/>
              </w:rPr>
              <w:t>详见招标公告</w:t>
            </w:r>
          </w:p>
        </w:tc>
      </w:tr>
      <w:tr w14:paraId="03DE10F2">
        <w:tblPrEx>
          <w:tblCellMar>
            <w:top w:w="0" w:type="dxa"/>
            <w:left w:w="108" w:type="dxa"/>
            <w:bottom w:w="0" w:type="dxa"/>
            <w:right w:w="108" w:type="dxa"/>
          </w:tblCellMar>
        </w:tblPrEx>
        <w:trPr>
          <w:trHeight w:val="720" w:hRule="atLeast"/>
        </w:trPr>
        <w:tc>
          <w:tcPr>
            <w:tcW w:w="589" w:type="pct"/>
            <w:tcBorders>
              <w:top w:val="single" w:color="auto" w:sz="4" w:space="0"/>
              <w:left w:val="single" w:color="auto" w:sz="4" w:space="0"/>
              <w:bottom w:val="single" w:color="auto" w:sz="4" w:space="0"/>
              <w:right w:val="single" w:color="auto" w:sz="4" w:space="0"/>
            </w:tcBorders>
            <w:vAlign w:val="center"/>
          </w:tcPr>
          <w:p w14:paraId="462CAADF">
            <w:pPr>
              <w:spacing w:line="300" w:lineRule="auto"/>
              <w:rPr>
                <w:rFonts w:ascii="Times New Roman" w:hAnsi="Times New Roman"/>
                <w:color w:val="000000"/>
              </w:rPr>
            </w:pPr>
            <w:r>
              <w:rPr>
                <w:rFonts w:ascii="Times New Roman" w:hAnsi="Times New Roman"/>
                <w:color w:val="000000"/>
              </w:rPr>
              <w:t>1.4.2</w:t>
            </w:r>
          </w:p>
        </w:tc>
        <w:tc>
          <w:tcPr>
            <w:tcW w:w="1477" w:type="pct"/>
            <w:tcBorders>
              <w:top w:val="single" w:color="auto" w:sz="4" w:space="0"/>
              <w:left w:val="single" w:color="auto" w:sz="4" w:space="0"/>
              <w:bottom w:val="single" w:color="auto" w:sz="4" w:space="0"/>
              <w:right w:val="single" w:color="auto" w:sz="4" w:space="0"/>
            </w:tcBorders>
            <w:vAlign w:val="center"/>
          </w:tcPr>
          <w:p w14:paraId="3AA3FE03">
            <w:pPr>
              <w:spacing w:line="300" w:lineRule="auto"/>
              <w:rPr>
                <w:rFonts w:ascii="Times New Roman" w:hAnsi="Times New Roman"/>
                <w:color w:val="000000"/>
              </w:rPr>
            </w:pPr>
            <w:r>
              <w:rPr>
                <w:rFonts w:hint="eastAsia" w:ascii="Times New Roman" w:hAnsi="Times New Roman"/>
                <w:color w:val="000000"/>
              </w:rPr>
              <w:t>是否接受联合体投标</w:t>
            </w:r>
          </w:p>
        </w:tc>
        <w:tc>
          <w:tcPr>
            <w:tcW w:w="2933" w:type="pct"/>
            <w:tcBorders>
              <w:top w:val="single" w:color="auto" w:sz="4" w:space="0"/>
              <w:left w:val="single" w:color="auto" w:sz="4" w:space="0"/>
              <w:bottom w:val="single" w:color="auto" w:sz="4" w:space="0"/>
              <w:right w:val="single" w:color="auto" w:sz="4" w:space="0"/>
            </w:tcBorders>
            <w:vAlign w:val="center"/>
          </w:tcPr>
          <w:p w14:paraId="40547A21">
            <w:pPr>
              <w:spacing w:line="300" w:lineRule="auto"/>
              <w:rPr>
                <w:rFonts w:ascii="Times New Roman" w:hAnsi="Times New Roman"/>
                <w:color w:val="000000"/>
              </w:rPr>
            </w:pPr>
            <w:r>
              <w:rPr>
                <w:rFonts w:hint="eastAsia" w:ascii="Times New Roman" w:hAnsi="Times New Roman"/>
                <w:color w:val="000000"/>
              </w:rPr>
              <w:t>不接受</w:t>
            </w:r>
          </w:p>
        </w:tc>
      </w:tr>
      <w:tr w14:paraId="371D212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93CB5EE">
            <w:pPr>
              <w:spacing w:line="300" w:lineRule="auto"/>
              <w:rPr>
                <w:rFonts w:ascii="Times New Roman" w:hAnsi="Times New Roman"/>
                <w:color w:val="000000"/>
              </w:rPr>
            </w:pPr>
            <w:r>
              <w:rPr>
                <w:rFonts w:ascii="Times New Roman" w:hAnsi="Times New Roman"/>
                <w:color w:val="000000"/>
              </w:rPr>
              <w:t>1.</w:t>
            </w:r>
            <w:r>
              <w:rPr>
                <w:rFonts w:hint="eastAsia" w:ascii="Times New Roman" w:hAnsi="Times New Roman"/>
                <w:color w:val="000000"/>
              </w:rPr>
              <w:t>4.3</w:t>
            </w:r>
          </w:p>
        </w:tc>
        <w:tc>
          <w:tcPr>
            <w:tcW w:w="1477" w:type="pct"/>
            <w:tcBorders>
              <w:top w:val="single" w:color="auto" w:sz="4" w:space="0"/>
              <w:left w:val="single" w:color="auto" w:sz="4" w:space="0"/>
              <w:bottom w:val="single" w:color="auto" w:sz="4" w:space="0"/>
              <w:right w:val="single" w:color="auto" w:sz="4" w:space="0"/>
            </w:tcBorders>
            <w:vAlign w:val="center"/>
          </w:tcPr>
          <w:p w14:paraId="291C5722">
            <w:pPr>
              <w:spacing w:line="300" w:lineRule="auto"/>
              <w:ind w:firstLine="420" w:firstLineChars="200"/>
              <w:rPr>
                <w:rFonts w:ascii="Times New Roman" w:hAnsi="Times New Roman"/>
                <w:color w:val="000000"/>
              </w:rPr>
            </w:pPr>
            <w:r>
              <w:rPr>
                <w:rFonts w:hint="eastAsia" w:ascii="Times New Roman" w:hAnsi="Times New Roman"/>
                <w:color w:val="000000"/>
              </w:rPr>
              <w:t>踏勘现场</w:t>
            </w:r>
          </w:p>
        </w:tc>
        <w:tc>
          <w:tcPr>
            <w:tcW w:w="2933" w:type="pct"/>
            <w:tcBorders>
              <w:top w:val="single" w:color="auto" w:sz="4" w:space="0"/>
              <w:left w:val="single" w:color="auto" w:sz="4" w:space="0"/>
              <w:bottom w:val="single" w:color="auto" w:sz="4" w:space="0"/>
              <w:right w:val="single" w:color="auto" w:sz="4" w:space="0"/>
            </w:tcBorders>
            <w:vAlign w:val="center"/>
          </w:tcPr>
          <w:p w14:paraId="3F478DF1">
            <w:pPr>
              <w:spacing w:line="300" w:lineRule="auto"/>
              <w:rPr>
                <w:rFonts w:ascii="Times New Roman" w:hAnsi="Times New Roman"/>
                <w:color w:val="000000"/>
              </w:rPr>
            </w:pPr>
            <w:r>
              <w:rPr>
                <w:rFonts w:hint="eastAsia" w:ascii="Times New Roman" w:hAnsi="Times New Roman"/>
                <w:color w:val="000000"/>
              </w:rPr>
              <w:t>不组织统一踏勘现场。</w:t>
            </w:r>
          </w:p>
        </w:tc>
      </w:tr>
      <w:tr w14:paraId="3A9C042D">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38EB840">
            <w:pPr>
              <w:spacing w:line="300" w:lineRule="auto"/>
              <w:rPr>
                <w:rFonts w:ascii="Times New Roman" w:hAnsi="Times New Roman"/>
                <w:color w:val="000000"/>
              </w:rPr>
            </w:pPr>
            <w:r>
              <w:rPr>
                <w:rFonts w:ascii="Times New Roman" w:hAnsi="Times New Roman"/>
                <w:color w:val="000000"/>
              </w:rPr>
              <w:t>2.2.1</w:t>
            </w:r>
          </w:p>
        </w:tc>
        <w:tc>
          <w:tcPr>
            <w:tcW w:w="1477" w:type="pct"/>
            <w:tcBorders>
              <w:top w:val="single" w:color="auto" w:sz="4" w:space="0"/>
              <w:left w:val="single" w:color="auto" w:sz="4" w:space="0"/>
              <w:bottom w:val="single" w:color="auto" w:sz="4" w:space="0"/>
              <w:right w:val="single" w:color="auto" w:sz="4" w:space="0"/>
            </w:tcBorders>
            <w:vAlign w:val="center"/>
          </w:tcPr>
          <w:p w14:paraId="453F6796">
            <w:pPr>
              <w:spacing w:line="300" w:lineRule="auto"/>
              <w:rPr>
                <w:rFonts w:ascii="Times New Roman" w:hAnsi="Times New Roman"/>
                <w:color w:val="000000"/>
              </w:rPr>
            </w:pPr>
            <w:r>
              <w:rPr>
                <w:rFonts w:hint="eastAsia" w:ascii="Times New Roman" w:hAnsi="Times New Roman"/>
                <w:color w:val="000000"/>
              </w:rPr>
              <w:t>招标文件的澄清</w:t>
            </w:r>
          </w:p>
        </w:tc>
        <w:tc>
          <w:tcPr>
            <w:tcW w:w="2933" w:type="pct"/>
            <w:tcBorders>
              <w:top w:val="single" w:color="auto" w:sz="4" w:space="0"/>
              <w:left w:val="single" w:color="auto" w:sz="4" w:space="0"/>
              <w:bottom w:val="single" w:color="auto" w:sz="4" w:space="0"/>
              <w:right w:val="single" w:color="auto" w:sz="4" w:space="0"/>
            </w:tcBorders>
            <w:vAlign w:val="center"/>
          </w:tcPr>
          <w:p w14:paraId="2C75B48B">
            <w:pPr>
              <w:spacing w:line="300" w:lineRule="auto"/>
              <w:rPr>
                <w:rFonts w:ascii="Times New Roman" w:hAnsi="Times New Roman"/>
                <w:color w:val="000000"/>
              </w:rPr>
            </w:pPr>
            <w:r>
              <w:rPr>
                <w:rFonts w:hint="eastAsia" w:ascii="Times New Roman" w:hAnsi="Times New Roman"/>
                <w:color w:val="000000"/>
              </w:rPr>
              <w:t>招标文件澄清的截止时间为</w:t>
            </w:r>
            <w:r>
              <w:rPr>
                <w:rFonts w:hint="eastAsia" w:ascii="Times New Roman" w:hAnsi="Times New Roman"/>
                <w:color w:val="000000"/>
                <w:lang w:val="en-US" w:eastAsia="zh-CN"/>
              </w:rPr>
              <w:t>2</w:t>
            </w:r>
            <w:r>
              <w:rPr>
                <w:rFonts w:hint="eastAsia" w:ascii="Times New Roman" w:hAnsi="Times New Roman"/>
                <w:color w:val="000000"/>
                <w:highlight w:val="none"/>
                <w:lang w:val="en-US" w:eastAsia="zh-CN"/>
              </w:rPr>
              <w:t>026</w:t>
            </w:r>
            <w:r>
              <w:rPr>
                <w:rFonts w:hint="eastAsia" w:ascii="Times New Roman" w:hAnsi="Times New Roman"/>
                <w:color w:val="000000"/>
                <w:highlight w:val="none"/>
              </w:rPr>
              <w:t>年</w:t>
            </w:r>
            <w:r>
              <w:rPr>
                <w:rFonts w:hint="eastAsia" w:ascii="Times New Roman" w:hAnsi="Times New Roman"/>
                <w:color w:val="000000"/>
                <w:highlight w:val="none"/>
                <w:lang w:val="en-US" w:eastAsia="zh-CN"/>
              </w:rPr>
              <w:t>1</w:t>
            </w:r>
            <w:r>
              <w:rPr>
                <w:rFonts w:hint="eastAsia" w:ascii="Times New Roman" w:hAnsi="Times New Roman"/>
                <w:color w:val="000000"/>
                <w:highlight w:val="none"/>
              </w:rPr>
              <w:t>月</w:t>
            </w:r>
            <w:r>
              <w:rPr>
                <w:rFonts w:hint="eastAsia" w:ascii="Times New Roman" w:hAnsi="Times New Roman"/>
                <w:color w:val="000000"/>
                <w:highlight w:val="none"/>
                <w:lang w:val="en-US" w:eastAsia="zh-CN"/>
              </w:rPr>
              <w:t>27</w:t>
            </w:r>
            <w:r>
              <w:rPr>
                <w:rFonts w:hint="eastAsia" w:ascii="Times New Roman" w:hAnsi="Times New Roman"/>
                <w:color w:val="000000"/>
                <w:highlight w:val="none"/>
              </w:rPr>
              <w:t>日，</w:t>
            </w:r>
            <w:r>
              <w:rPr>
                <w:rFonts w:hint="eastAsia" w:ascii="Times New Roman" w:hAnsi="Times New Roman"/>
                <w:color w:val="000000"/>
              </w:rPr>
              <w:t>澄清文件在济钢集团有限公司阳光购销平台（网址：</w:t>
            </w:r>
            <w:r>
              <w:rPr>
                <w:rFonts w:hint="eastAsia" w:ascii="Times New Roman" w:hAnsi="Times New Roman"/>
                <w:color w:val="000000"/>
              </w:rPr>
              <w:fldChar w:fldCharType="begin"/>
            </w:r>
            <w:r>
              <w:rPr>
                <w:rFonts w:hint="eastAsia" w:ascii="Times New Roman" w:hAnsi="Times New Roman"/>
                <w:color w:val="000000"/>
              </w:rPr>
              <w:instrText xml:space="preserve"> HYPERLINK "http://bidding.jigang.com.cn" </w:instrText>
            </w:r>
            <w:r>
              <w:rPr>
                <w:rFonts w:hint="eastAsia" w:ascii="Times New Roman" w:hAnsi="Times New Roman"/>
                <w:color w:val="000000"/>
              </w:rPr>
              <w:fldChar w:fldCharType="separate"/>
            </w:r>
            <w:r>
              <w:rPr>
                <w:rFonts w:hint="eastAsia" w:ascii="Times New Roman" w:hAnsi="Times New Roman"/>
                <w:color w:val="000000"/>
              </w:rPr>
              <w:t>http://bidding.jigang.com.cn</w:t>
            </w:r>
            <w:r>
              <w:rPr>
                <w:rFonts w:hint="eastAsia" w:ascii="Times New Roman" w:hAnsi="Times New Roman"/>
                <w:color w:val="000000"/>
              </w:rPr>
              <w:fldChar w:fldCharType="end"/>
            </w:r>
            <w:r>
              <w:rPr>
                <w:rFonts w:hint="eastAsia" w:ascii="Times New Roman" w:hAnsi="Times New Roman"/>
                <w:color w:val="000000"/>
              </w:rPr>
              <w:t>/） 上发布，并以书面形式通知所有招标文件收受人。</w:t>
            </w:r>
          </w:p>
        </w:tc>
      </w:tr>
      <w:tr w14:paraId="6620E02B">
        <w:tblPrEx>
          <w:tblCellMar>
            <w:top w:w="0" w:type="dxa"/>
            <w:left w:w="108" w:type="dxa"/>
            <w:bottom w:w="0" w:type="dxa"/>
            <w:right w:w="108" w:type="dxa"/>
          </w:tblCellMar>
        </w:tblPrEx>
        <w:trPr>
          <w:trHeight w:val="521" w:hRule="atLeast"/>
        </w:trPr>
        <w:tc>
          <w:tcPr>
            <w:tcW w:w="589" w:type="pct"/>
            <w:tcBorders>
              <w:top w:val="single" w:color="auto" w:sz="4" w:space="0"/>
              <w:left w:val="single" w:color="auto" w:sz="4" w:space="0"/>
              <w:bottom w:val="single" w:color="auto" w:sz="4" w:space="0"/>
              <w:right w:val="single" w:color="auto" w:sz="4" w:space="0"/>
            </w:tcBorders>
            <w:vAlign w:val="center"/>
          </w:tcPr>
          <w:p w14:paraId="0E58F75C">
            <w:pPr>
              <w:spacing w:line="300" w:lineRule="auto"/>
              <w:rPr>
                <w:rFonts w:ascii="Times New Roman" w:hAnsi="Times New Roman"/>
                <w:color w:val="000000"/>
              </w:rPr>
            </w:pPr>
            <w:r>
              <w:rPr>
                <w:rFonts w:ascii="Times New Roman" w:hAnsi="Times New Roman"/>
                <w:color w:val="000000"/>
              </w:rPr>
              <w:t>2.2.2</w:t>
            </w:r>
          </w:p>
        </w:tc>
        <w:tc>
          <w:tcPr>
            <w:tcW w:w="1477" w:type="pct"/>
            <w:tcBorders>
              <w:top w:val="single" w:color="auto" w:sz="4" w:space="0"/>
              <w:left w:val="single" w:color="auto" w:sz="4" w:space="0"/>
              <w:bottom w:val="single" w:color="auto" w:sz="4" w:space="0"/>
              <w:right w:val="single" w:color="auto" w:sz="4" w:space="0"/>
            </w:tcBorders>
            <w:vAlign w:val="center"/>
          </w:tcPr>
          <w:p w14:paraId="06164311">
            <w:pPr>
              <w:spacing w:line="300" w:lineRule="auto"/>
              <w:rPr>
                <w:rFonts w:ascii="Times New Roman" w:hAnsi="Times New Roman"/>
                <w:color w:val="000000"/>
              </w:rPr>
            </w:pPr>
            <w:r>
              <w:rPr>
                <w:rFonts w:hint="eastAsia" w:ascii="Times New Roman" w:hAnsi="Times New Roman"/>
                <w:color w:val="000000"/>
              </w:rPr>
              <w:t>招标文件澄清发出的形式</w:t>
            </w:r>
          </w:p>
        </w:tc>
        <w:tc>
          <w:tcPr>
            <w:tcW w:w="2933" w:type="pct"/>
            <w:vMerge w:val="restart"/>
            <w:tcBorders>
              <w:top w:val="single" w:color="auto" w:sz="4" w:space="0"/>
              <w:left w:val="single" w:color="auto" w:sz="4" w:space="0"/>
              <w:right w:val="single" w:color="auto" w:sz="4" w:space="0"/>
            </w:tcBorders>
            <w:vAlign w:val="center"/>
          </w:tcPr>
          <w:p w14:paraId="1F1790F6">
            <w:pPr>
              <w:spacing w:line="300" w:lineRule="auto"/>
              <w:rPr>
                <w:rFonts w:ascii="Times New Roman" w:hAnsi="Times New Roman"/>
                <w:color w:val="000000"/>
              </w:rPr>
            </w:pPr>
            <w:r>
              <w:rPr>
                <w:rFonts w:hint="eastAsia" w:ascii="Times New Roman" w:hAnsi="Times New Roman"/>
                <w:color w:val="000000"/>
              </w:rPr>
              <w:t>招标系统书面发出</w:t>
            </w:r>
          </w:p>
        </w:tc>
      </w:tr>
      <w:tr w14:paraId="46FB34B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644B14F">
            <w:pPr>
              <w:spacing w:line="300" w:lineRule="auto"/>
              <w:rPr>
                <w:rFonts w:ascii="Times New Roman" w:hAnsi="Times New Roman"/>
                <w:color w:val="000000"/>
              </w:rPr>
            </w:pPr>
            <w:r>
              <w:rPr>
                <w:rFonts w:ascii="Times New Roman" w:hAnsi="Times New Roman"/>
                <w:color w:val="000000"/>
              </w:rPr>
              <w:t>2.3.1</w:t>
            </w:r>
          </w:p>
        </w:tc>
        <w:tc>
          <w:tcPr>
            <w:tcW w:w="1477" w:type="pct"/>
            <w:tcBorders>
              <w:top w:val="single" w:color="auto" w:sz="4" w:space="0"/>
              <w:left w:val="single" w:color="auto" w:sz="4" w:space="0"/>
              <w:bottom w:val="single" w:color="auto" w:sz="4" w:space="0"/>
              <w:right w:val="single" w:color="auto" w:sz="4" w:space="0"/>
            </w:tcBorders>
            <w:vAlign w:val="center"/>
          </w:tcPr>
          <w:p w14:paraId="6452D573">
            <w:pPr>
              <w:spacing w:line="300" w:lineRule="auto"/>
              <w:rPr>
                <w:rFonts w:ascii="Times New Roman" w:hAnsi="Times New Roman"/>
                <w:color w:val="000000"/>
              </w:rPr>
            </w:pPr>
            <w:r>
              <w:rPr>
                <w:rFonts w:hint="eastAsia" w:ascii="Times New Roman" w:hAnsi="Times New Roman"/>
                <w:color w:val="000000"/>
              </w:rPr>
              <w:t>招标文件修改发出的形式</w:t>
            </w:r>
          </w:p>
        </w:tc>
        <w:tc>
          <w:tcPr>
            <w:tcW w:w="2933" w:type="pct"/>
            <w:vMerge w:val="continue"/>
            <w:tcBorders>
              <w:left w:val="single" w:color="auto" w:sz="4" w:space="0"/>
              <w:bottom w:val="single" w:color="auto" w:sz="4" w:space="0"/>
              <w:right w:val="single" w:color="auto" w:sz="4" w:space="0"/>
            </w:tcBorders>
            <w:vAlign w:val="center"/>
          </w:tcPr>
          <w:p w14:paraId="58D38DFE">
            <w:pPr>
              <w:spacing w:line="300" w:lineRule="auto"/>
              <w:ind w:firstLine="420" w:firstLineChars="200"/>
              <w:rPr>
                <w:rFonts w:ascii="Times New Roman" w:hAnsi="Times New Roman"/>
                <w:color w:val="000000"/>
              </w:rPr>
            </w:pPr>
          </w:p>
        </w:tc>
      </w:tr>
      <w:tr w14:paraId="5E42582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2E2262D1">
            <w:pPr>
              <w:spacing w:line="300" w:lineRule="auto"/>
              <w:rPr>
                <w:rFonts w:ascii="Times New Roman" w:hAnsi="Times New Roman"/>
                <w:color w:val="000000"/>
              </w:rPr>
            </w:pPr>
            <w:r>
              <w:rPr>
                <w:rFonts w:ascii="Times New Roman" w:hAnsi="Times New Roman"/>
                <w:color w:val="000000"/>
              </w:rPr>
              <w:t>3.3</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7835BBF2">
            <w:pPr>
              <w:spacing w:line="300" w:lineRule="auto"/>
              <w:ind w:firstLine="420" w:firstLineChars="200"/>
              <w:rPr>
                <w:rFonts w:ascii="Times New Roman" w:hAnsi="Times New Roman"/>
                <w:color w:val="000000"/>
              </w:rPr>
            </w:pPr>
            <w:r>
              <w:rPr>
                <w:rFonts w:hint="eastAsia" w:ascii="Times New Roman" w:hAnsi="Times New Roman"/>
                <w:color w:val="000000"/>
              </w:rPr>
              <w:t>投标有效期</w:t>
            </w:r>
          </w:p>
        </w:tc>
        <w:tc>
          <w:tcPr>
            <w:tcW w:w="2933" w:type="pct"/>
            <w:tcBorders>
              <w:top w:val="single" w:color="auto" w:sz="4" w:space="0"/>
              <w:left w:val="single" w:color="auto" w:sz="4" w:space="0"/>
              <w:bottom w:val="single" w:color="auto" w:sz="4" w:space="0"/>
              <w:right w:val="single" w:color="auto" w:sz="4" w:space="0"/>
            </w:tcBorders>
            <w:vAlign w:val="center"/>
          </w:tcPr>
          <w:p w14:paraId="407832D1">
            <w:pPr>
              <w:spacing w:line="300" w:lineRule="auto"/>
              <w:rPr>
                <w:rFonts w:ascii="Times New Roman" w:hAnsi="Times New Roman"/>
                <w:color w:val="000000"/>
              </w:rPr>
            </w:pPr>
            <w:r>
              <w:rPr>
                <w:rFonts w:hint="eastAsia" w:ascii="Times New Roman" w:hAnsi="Times New Roman"/>
                <w:color w:val="000000"/>
              </w:rPr>
              <w:t>90天</w:t>
            </w:r>
          </w:p>
        </w:tc>
      </w:tr>
      <w:tr w14:paraId="7EC87BD6">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23D0DBD">
            <w:pPr>
              <w:spacing w:line="300" w:lineRule="auto"/>
              <w:rPr>
                <w:rFonts w:ascii="Times New Roman" w:hAnsi="Times New Roman"/>
                <w:color w:val="000000"/>
              </w:rPr>
            </w:pPr>
            <w:r>
              <w:rPr>
                <w:rFonts w:ascii="Times New Roman" w:hAnsi="Times New Roman"/>
                <w:color w:val="000000"/>
              </w:rPr>
              <w:t>3.4.1</w:t>
            </w:r>
          </w:p>
        </w:tc>
        <w:tc>
          <w:tcPr>
            <w:tcW w:w="1477" w:type="pct"/>
            <w:tcBorders>
              <w:top w:val="single" w:color="auto" w:sz="4" w:space="0"/>
              <w:left w:val="single" w:color="auto" w:sz="4" w:space="0"/>
              <w:bottom w:val="single" w:color="auto" w:sz="4" w:space="0"/>
              <w:right w:val="single" w:color="auto" w:sz="4" w:space="0"/>
            </w:tcBorders>
            <w:vAlign w:val="center"/>
          </w:tcPr>
          <w:p w14:paraId="6B44D443">
            <w:pPr>
              <w:spacing w:line="300" w:lineRule="auto"/>
              <w:ind w:firstLine="420" w:firstLineChars="200"/>
              <w:rPr>
                <w:rFonts w:ascii="Times New Roman" w:hAnsi="Times New Roman"/>
                <w:color w:val="000000"/>
              </w:rPr>
            </w:pPr>
            <w:r>
              <w:rPr>
                <w:rFonts w:hint="eastAsia" w:ascii="Times New Roman" w:hAnsi="Times New Roman"/>
                <w:color w:val="000000"/>
              </w:rPr>
              <w:t>投标保证金</w:t>
            </w:r>
          </w:p>
        </w:tc>
        <w:tc>
          <w:tcPr>
            <w:tcW w:w="2933" w:type="pct"/>
            <w:tcBorders>
              <w:top w:val="single" w:color="auto" w:sz="4" w:space="0"/>
              <w:left w:val="single" w:color="auto" w:sz="4" w:space="0"/>
              <w:bottom w:val="single" w:color="auto" w:sz="4" w:space="0"/>
              <w:right w:val="single" w:color="auto" w:sz="4" w:space="0"/>
            </w:tcBorders>
            <w:vAlign w:val="center"/>
          </w:tcPr>
          <w:p w14:paraId="4A900EEB">
            <w:pPr>
              <w:spacing w:line="300" w:lineRule="auto"/>
              <w:rPr>
                <w:rFonts w:hint="eastAsia" w:ascii="Times New Roman" w:hAnsi="Times New Roman"/>
                <w:color w:val="000000"/>
              </w:rPr>
            </w:pPr>
            <w:r>
              <w:rPr>
                <w:rFonts w:hint="eastAsia" w:ascii="Times New Roman" w:hAnsi="Times New Roman"/>
                <w:color w:val="000000"/>
              </w:rPr>
              <w:t>本次招标投标保证金为人民币贰万元整（¥20000元）。投标人在</w:t>
            </w:r>
            <w:r>
              <w:rPr>
                <w:rFonts w:hint="eastAsia" w:ascii="Times New Roman" w:hAnsi="Times New Roman"/>
                <w:color w:val="000000"/>
                <w:lang w:val="en-US" w:eastAsia="zh-CN"/>
              </w:rPr>
              <w:t>2026</w:t>
            </w:r>
            <w:r>
              <w:rPr>
                <w:rFonts w:hint="eastAsia" w:ascii="Times New Roman" w:hAnsi="Times New Roman"/>
                <w:color w:val="000000"/>
              </w:rPr>
              <w:t>年</w:t>
            </w:r>
            <w:r>
              <w:rPr>
                <w:rFonts w:hint="eastAsia" w:ascii="Times New Roman" w:hAnsi="Times New Roman"/>
                <w:color w:val="000000"/>
                <w:lang w:val="en-US" w:eastAsia="zh-CN"/>
              </w:rPr>
              <w:t>1</w:t>
            </w:r>
            <w:r>
              <w:rPr>
                <w:rFonts w:hint="eastAsia" w:ascii="Times New Roman" w:hAnsi="Times New Roman"/>
                <w:color w:val="000000"/>
              </w:rPr>
              <w:t>月</w:t>
            </w:r>
            <w:r>
              <w:rPr>
                <w:rFonts w:hint="eastAsia" w:ascii="Times New Roman" w:hAnsi="Times New Roman"/>
                <w:color w:val="000000"/>
                <w:lang w:val="en-US" w:eastAsia="zh-CN"/>
              </w:rPr>
              <w:t>27</w:t>
            </w:r>
            <w:r>
              <w:rPr>
                <w:rFonts w:hint="eastAsia" w:ascii="Times New Roman" w:hAnsi="Times New Roman"/>
                <w:color w:val="000000"/>
              </w:rPr>
              <w:t>日</w:t>
            </w:r>
            <w:r>
              <w:rPr>
                <w:rFonts w:hint="eastAsia" w:ascii="Times New Roman" w:hAnsi="Times New Roman"/>
                <w:color w:val="000000"/>
                <w:lang w:val="en-US" w:eastAsia="zh-CN"/>
              </w:rPr>
              <w:t>14</w:t>
            </w:r>
            <w:r>
              <w:rPr>
                <w:rFonts w:hint="eastAsia" w:ascii="Times New Roman" w:hAnsi="Times New Roman"/>
                <w:color w:val="000000"/>
              </w:rPr>
              <w:t>时未交纳投标保证金的，招标人将拒绝其投标。投标保证金在合同签订后30日内无息返还。投标保证金的交纳，应符合以下要求：</w:t>
            </w:r>
          </w:p>
          <w:p w14:paraId="13991B86">
            <w:pPr>
              <w:spacing w:line="300" w:lineRule="auto"/>
              <w:rPr>
                <w:rFonts w:hint="eastAsia" w:ascii="Times New Roman" w:hAnsi="Times New Roman"/>
                <w:color w:val="000000"/>
              </w:rPr>
            </w:pPr>
            <w:r>
              <w:rPr>
                <w:rFonts w:hint="eastAsia" w:ascii="Times New Roman" w:hAnsi="Times New Roman"/>
                <w:color w:val="000000"/>
              </w:rPr>
              <w:t>1、交款方式：银行转账、电汇，不接受其他交款方式。</w:t>
            </w:r>
          </w:p>
          <w:p w14:paraId="73C1A876">
            <w:pPr>
              <w:spacing w:line="300" w:lineRule="auto"/>
              <w:rPr>
                <w:rFonts w:hint="eastAsia" w:ascii="Times New Roman" w:hAnsi="Times New Roman"/>
                <w:color w:val="000000"/>
              </w:rPr>
            </w:pPr>
            <w:r>
              <w:rPr>
                <w:rFonts w:hint="eastAsia" w:ascii="Times New Roman" w:hAnsi="Times New Roman"/>
                <w:color w:val="000000"/>
              </w:rPr>
              <w:t>2、交款账户：从投标人银行基本账户内转出或汇出。</w:t>
            </w:r>
          </w:p>
          <w:p w14:paraId="6768AD54">
            <w:pPr>
              <w:spacing w:line="300" w:lineRule="auto"/>
              <w:rPr>
                <w:rFonts w:ascii="Times New Roman" w:hAnsi="Times New Roman"/>
                <w:color w:val="000000"/>
              </w:rPr>
            </w:pPr>
            <w:r>
              <w:rPr>
                <w:rFonts w:hint="eastAsia" w:ascii="Times New Roman" w:hAnsi="Times New Roman"/>
                <w:color w:val="000000"/>
              </w:rPr>
              <w:t>3、交款应注明招标名称、招标编号及款项性质（投标保证金），并在递交投标文件时，携带投标保证金交款凭证及复印件，以备查验。</w:t>
            </w:r>
          </w:p>
          <w:p w14:paraId="35CE5019">
            <w:pPr>
              <w:spacing w:line="300" w:lineRule="auto"/>
              <w:rPr>
                <w:rFonts w:ascii="Times New Roman" w:hAnsi="Times New Roman"/>
                <w:color w:val="000000"/>
              </w:rPr>
            </w:pPr>
            <w:r>
              <w:rPr>
                <w:rFonts w:hint="eastAsia" w:ascii="Times New Roman" w:hAnsi="Times New Roman"/>
                <w:color w:val="000000"/>
              </w:rPr>
              <w:t>4、缴纳保证金账户信息：</w:t>
            </w:r>
          </w:p>
          <w:p w14:paraId="141722C0">
            <w:pPr>
              <w:spacing w:line="300" w:lineRule="auto"/>
              <w:rPr>
                <w:rFonts w:ascii="Times New Roman" w:hAnsi="Times New Roman"/>
                <w:color w:val="000000"/>
              </w:rPr>
            </w:pPr>
            <w:r>
              <w:rPr>
                <w:rFonts w:hint="eastAsia" w:ascii="Times New Roman" w:hAnsi="Times New Roman"/>
                <w:color w:val="000000"/>
              </w:rPr>
              <w:t>收款账户：济南黄河爆破工程有限责任公司</w:t>
            </w:r>
          </w:p>
          <w:p w14:paraId="7F2458C7">
            <w:pPr>
              <w:spacing w:line="300" w:lineRule="auto"/>
              <w:rPr>
                <w:rFonts w:ascii="Times New Roman" w:hAnsi="Times New Roman"/>
                <w:color w:val="000000"/>
              </w:rPr>
            </w:pPr>
            <w:r>
              <w:rPr>
                <w:rFonts w:hint="eastAsia" w:ascii="Times New Roman" w:hAnsi="Times New Roman"/>
                <w:color w:val="000000"/>
              </w:rPr>
              <w:t>开户行：中国工商银行济南东郊支行</w:t>
            </w:r>
          </w:p>
          <w:p w14:paraId="45F23628">
            <w:pPr>
              <w:spacing w:line="300" w:lineRule="auto"/>
              <w:rPr>
                <w:rFonts w:ascii="Times New Roman" w:hAnsi="Times New Roman"/>
                <w:color w:val="000000"/>
              </w:rPr>
            </w:pPr>
            <w:r>
              <w:rPr>
                <w:rFonts w:hint="eastAsia" w:ascii="Times New Roman" w:hAnsi="Times New Roman"/>
                <w:color w:val="000000"/>
              </w:rPr>
              <w:t>银行账户：1602003419201075070</w:t>
            </w:r>
          </w:p>
          <w:p w14:paraId="454509B9">
            <w:pPr>
              <w:spacing w:line="300" w:lineRule="auto"/>
              <w:rPr>
                <w:rFonts w:hint="eastAsia"/>
              </w:rPr>
            </w:pPr>
            <w:r>
              <w:rPr>
                <w:rFonts w:hint="eastAsia" w:ascii="Times New Roman" w:hAnsi="Times New Roman"/>
                <w:color w:val="000000"/>
              </w:rPr>
              <w:t>行号：102451000344</w:t>
            </w:r>
          </w:p>
          <w:p w14:paraId="42AD8633">
            <w:pPr>
              <w:spacing w:line="300" w:lineRule="auto"/>
              <w:rPr>
                <w:rFonts w:ascii="Times New Roman" w:hAnsi="Times New Roman"/>
                <w:color w:val="000000"/>
              </w:rPr>
            </w:pPr>
            <w:r>
              <w:rPr>
                <w:rFonts w:hint="eastAsia" w:ascii="Times New Roman" w:hAnsi="Times New Roman"/>
                <w:color w:val="000000"/>
              </w:rPr>
              <w:t>请各投标人注意：</w:t>
            </w:r>
          </w:p>
          <w:p w14:paraId="160237E9">
            <w:pPr>
              <w:spacing w:line="300" w:lineRule="auto"/>
              <w:ind w:left="-90" w:leftChars="-343" w:hanging="630" w:hangingChars="300"/>
              <w:jc w:val="left"/>
              <w:rPr>
                <w:rFonts w:ascii="Times New Roman" w:hAnsi="Times New Roman"/>
                <w:color w:val="000000"/>
              </w:rPr>
            </w:pPr>
            <w:r>
              <w:rPr>
                <w:rFonts w:hint="eastAsia" w:ascii="Times New Roman" w:hAnsi="Times New Roman"/>
                <w:color w:val="000000"/>
              </w:rPr>
              <w:t>各银行办理业务需要一定时间，望各投标人尽早办理，投标保证金的交纳时间以到账户时间为准。</w:t>
            </w:r>
          </w:p>
          <w:p w14:paraId="6E278FE7">
            <w:pPr>
              <w:spacing w:line="300" w:lineRule="auto"/>
              <w:ind w:leftChars="-343" w:hanging="720" w:hangingChars="300"/>
              <w:jc w:val="left"/>
              <w:rPr>
                <w:rFonts w:hint="eastAsia" w:ascii="Times New Roman" w:hAnsi="宋体"/>
                <w:color w:val="000000"/>
                <w:sz w:val="24"/>
              </w:rPr>
            </w:pPr>
            <w:r>
              <w:rPr>
                <w:rFonts w:hint="eastAsia" w:ascii="Times New Roman" w:hAnsi="宋体"/>
                <w:color w:val="000000"/>
                <w:sz w:val="24"/>
              </w:rPr>
              <w:t>6</w:t>
            </w:r>
          </w:p>
        </w:tc>
      </w:tr>
      <w:tr w14:paraId="30734A9C">
        <w:tblPrEx>
          <w:tblCellMar>
            <w:top w:w="0" w:type="dxa"/>
            <w:left w:w="108" w:type="dxa"/>
            <w:bottom w:w="0" w:type="dxa"/>
            <w:right w:w="108" w:type="dxa"/>
          </w:tblCellMar>
        </w:tblPrEx>
        <w:trPr>
          <w:trHeight w:val="3376" w:hRule="atLeast"/>
        </w:trPr>
        <w:tc>
          <w:tcPr>
            <w:tcW w:w="589" w:type="pct"/>
            <w:tcBorders>
              <w:top w:val="single" w:color="auto" w:sz="4" w:space="0"/>
              <w:left w:val="single" w:color="auto" w:sz="4" w:space="0"/>
              <w:bottom w:val="single" w:color="auto" w:sz="4" w:space="0"/>
              <w:right w:val="single" w:color="auto" w:sz="4" w:space="0"/>
            </w:tcBorders>
            <w:vAlign w:val="center"/>
          </w:tcPr>
          <w:p w14:paraId="6C43C8BC">
            <w:pPr>
              <w:spacing w:line="300" w:lineRule="auto"/>
              <w:rPr>
                <w:rFonts w:ascii="Times New Roman" w:hAnsi="Times New Roman"/>
                <w:color w:val="000000"/>
              </w:rPr>
            </w:pPr>
            <w:r>
              <w:rPr>
                <w:rFonts w:hint="eastAsia" w:ascii="Times New Roman" w:hAnsi="Times New Roman"/>
                <w:color w:val="000000"/>
              </w:rPr>
              <w:t>3.5.1</w:t>
            </w:r>
          </w:p>
        </w:tc>
        <w:tc>
          <w:tcPr>
            <w:tcW w:w="1477" w:type="pct"/>
            <w:tcBorders>
              <w:top w:val="single" w:color="auto" w:sz="4" w:space="0"/>
              <w:left w:val="single" w:color="auto" w:sz="4" w:space="0"/>
              <w:bottom w:val="single" w:color="auto" w:sz="4" w:space="0"/>
              <w:right w:val="single" w:color="auto" w:sz="4" w:space="0"/>
            </w:tcBorders>
            <w:vAlign w:val="center"/>
          </w:tcPr>
          <w:p w14:paraId="7F78C835">
            <w:pPr>
              <w:spacing w:line="360" w:lineRule="exact"/>
              <w:jc w:val="center"/>
              <w:rPr>
                <w:rFonts w:ascii="Times New Roman" w:hAnsi="Times New Roman"/>
                <w:color w:val="000000"/>
              </w:rPr>
            </w:pPr>
            <w:r>
              <w:rPr>
                <w:rFonts w:hint="eastAsia" w:ascii="Times New Roman" w:hAnsi="Times New Roman"/>
                <w:color w:val="000000"/>
              </w:rPr>
              <w:t>资格审查</w:t>
            </w:r>
          </w:p>
        </w:tc>
        <w:tc>
          <w:tcPr>
            <w:tcW w:w="2933" w:type="pct"/>
            <w:tcBorders>
              <w:top w:val="single" w:color="auto" w:sz="4" w:space="0"/>
              <w:left w:val="single" w:color="auto" w:sz="4" w:space="0"/>
              <w:bottom w:val="single" w:color="auto" w:sz="4" w:space="0"/>
              <w:right w:val="single" w:color="auto" w:sz="4" w:space="0"/>
            </w:tcBorders>
            <w:vAlign w:val="center"/>
          </w:tcPr>
          <w:p w14:paraId="57A59975">
            <w:pPr>
              <w:spacing w:line="340" w:lineRule="exact"/>
              <w:jc w:val="left"/>
              <w:rPr>
                <w:rFonts w:hint="eastAsia"/>
              </w:rPr>
            </w:pPr>
            <w:r>
              <w:t>1、</w:t>
            </w:r>
            <w:r>
              <w:rPr>
                <w:rFonts w:hint="eastAsia"/>
              </w:rPr>
              <w:t>评标委员会对投标人的资格审查文件（电子版）进行评审。评审合格的进入下一阶段评标</w:t>
            </w:r>
            <w:r>
              <w:t>；</w:t>
            </w:r>
            <w:r>
              <w:rPr>
                <w:rFonts w:hint="eastAsia"/>
              </w:rPr>
              <w:t>评标</w:t>
            </w:r>
            <w:r>
              <w:t>不合格的</w:t>
            </w:r>
            <w:r>
              <w:rPr>
                <w:rFonts w:hint="eastAsia"/>
              </w:rPr>
              <w:t>取消其招标资格</w:t>
            </w:r>
            <w:r>
              <w:t>，</w:t>
            </w:r>
            <w:r>
              <w:rPr>
                <w:rFonts w:hint="eastAsia"/>
              </w:rPr>
              <w:t>购买招标文件的费用</w:t>
            </w:r>
            <w:r>
              <w:t>不退。</w:t>
            </w:r>
          </w:p>
          <w:p w14:paraId="06FCEF41">
            <w:pPr>
              <w:spacing w:line="340" w:lineRule="exact"/>
              <w:rPr>
                <w:rFonts w:ascii="Times New Roman" w:hAnsi="Times New Roman"/>
                <w:color w:val="000000"/>
              </w:rPr>
            </w:pPr>
            <w:r>
              <w:t>2、</w:t>
            </w:r>
            <w:r>
              <w:rPr>
                <w:rFonts w:hint="eastAsia"/>
              </w:rPr>
              <w:t>制作资格审查文件（电子版）后，在</w:t>
            </w:r>
            <w:r>
              <w:rPr>
                <w:rFonts w:hint="eastAsia"/>
                <w:highlight w:val="none"/>
                <w:lang w:val="en-US" w:eastAsia="zh-CN"/>
              </w:rPr>
              <w:t>2026</w:t>
            </w:r>
            <w:r>
              <w:rPr>
                <w:rFonts w:hint="eastAsia"/>
                <w:highlight w:val="none"/>
              </w:rPr>
              <w:t>年</w:t>
            </w:r>
            <w:r>
              <w:rPr>
                <w:rFonts w:hint="eastAsia"/>
                <w:highlight w:val="none"/>
                <w:lang w:val="en-US" w:eastAsia="zh-CN"/>
              </w:rPr>
              <w:t>1</w:t>
            </w:r>
            <w:r>
              <w:rPr>
                <w:rFonts w:hint="eastAsia"/>
                <w:highlight w:val="none"/>
              </w:rPr>
              <w:t>月</w:t>
            </w:r>
            <w:r>
              <w:rPr>
                <w:rFonts w:hint="eastAsia"/>
                <w:highlight w:val="none"/>
                <w:lang w:val="en-US" w:eastAsia="zh-CN"/>
              </w:rPr>
              <w:t>29</w:t>
            </w:r>
            <w:r>
              <w:rPr>
                <w:rFonts w:hint="eastAsia"/>
                <w:highlight w:val="none"/>
              </w:rPr>
              <w:t>日上午</w:t>
            </w:r>
            <w:r>
              <w:rPr>
                <w:rFonts w:hint="eastAsia"/>
                <w:highlight w:val="none"/>
                <w:lang w:val="en-US" w:eastAsia="zh-CN"/>
              </w:rPr>
              <w:t>9</w:t>
            </w:r>
            <w:r>
              <w:rPr>
                <w:rFonts w:hint="eastAsia"/>
                <w:highlight w:val="none"/>
              </w:rPr>
              <w:t>点</w:t>
            </w:r>
            <w:r>
              <w:rPr>
                <w:rFonts w:hint="eastAsia"/>
                <w:highlight w:val="none"/>
                <w:lang w:val="en-US" w:eastAsia="zh-CN"/>
              </w:rPr>
              <w:t>前</w:t>
            </w:r>
            <w:r>
              <w:rPr>
                <w:rFonts w:hint="eastAsia"/>
                <w:highlight w:val="none"/>
              </w:rPr>
              <w:t>，上传报名网站</w:t>
            </w:r>
          </w:p>
        </w:tc>
      </w:tr>
      <w:tr w14:paraId="05DD5795">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2020CC6">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2</w:t>
            </w:r>
          </w:p>
        </w:tc>
        <w:tc>
          <w:tcPr>
            <w:tcW w:w="1477" w:type="pct"/>
            <w:tcBorders>
              <w:top w:val="single" w:color="auto" w:sz="4" w:space="0"/>
              <w:left w:val="single" w:color="auto" w:sz="4" w:space="0"/>
              <w:bottom w:val="single" w:color="auto" w:sz="4" w:space="0"/>
              <w:right w:val="single" w:color="auto" w:sz="4" w:space="0"/>
            </w:tcBorders>
            <w:vAlign w:val="center"/>
          </w:tcPr>
          <w:p w14:paraId="33B0FA6C">
            <w:pPr>
              <w:spacing w:line="300" w:lineRule="auto"/>
              <w:rPr>
                <w:rFonts w:ascii="Times New Roman" w:hAnsi="Times New Roman"/>
                <w:color w:val="000000"/>
              </w:rPr>
            </w:pPr>
            <w:r>
              <w:rPr>
                <w:rFonts w:hint="eastAsia" w:ascii="Times New Roman" w:hAnsi="Times New Roman"/>
                <w:color w:val="000000"/>
              </w:rPr>
              <w:t>近三年财务状况的年份要求</w:t>
            </w:r>
          </w:p>
        </w:tc>
        <w:tc>
          <w:tcPr>
            <w:tcW w:w="2933" w:type="pct"/>
            <w:tcBorders>
              <w:top w:val="single" w:color="auto" w:sz="4" w:space="0"/>
              <w:left w:val="single" w:color="auto" w:sz="4" w:space="0"/>
              <w:bottom w:val="single" w:color="auto" w:sz="4" w:space="0"/>
              <w:right w:val="single" w:color="auto" w:sz="4" w:space="0"/>
            </w:tcBorders>
            <w:vAlign w:val="center"/>
          </w:tcPr>
          <w:p w14:paraId="2783C9B1">
            <w:pPr>
              <w:spacing w:line="300" w:lineRule="auto"/>
              <w:jc w:val="center"/>
              <w:rPr>
                <w:rFonts w:ascii="Times New Roman" w:hAnsi="Times New Roman"/>
                <w:color w:val="000000"/>
              </w:rPr>
            </w:pPr>
            <w:r>
              <w:rPr>
                <w:rFonts w:hint="eastAsia" w:ascii="Times New Roman" w:hAnsi="Times New Roman"/>
                <w:color w:val="000000"/>
              </w:rPr>
              <w:t>2023、2024、2025年度</w:t>
            </w:r>
          </w:p>
        </w:tc>
      </w:tr>
      <w:tr w14:paraId="648D174C">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7759F29">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3</w:t>
            </w:r>
          </w:p>
        </w:tc>
        <w:tc>
          <w:tcPr>
            <w:tcW w:w="1477" w:type="pct"/>
            <w:tcBorders>
              <w:top w:val="single" w:color="auto" w:sz="4" w:space="0"/>
              <w:left w:val="single" w:color="auto" w:sz="4" w:space="0"/>
              <w:bottom w:val="single" w:color="auto" w:sz="4" w:space="0"/>
              <w:right w:val="single" w:color="auto" w:sz="4" w:space="0"/>
            </w:tcBorders>
            <w:vAlign w:val="center"/>
          </w:tcPr>
          <w:p w14:paraId="1667ABEF">
            <w:pPr>
              <w:spacing w:line="300" w:lineRule="auto"/>
              <w:rPr>
                <w:rFonts w:ascii="Times New Roman" w:hAnsi="Times New Roman"/>
                <w:color w:val="000000"/>
              </w:rPr>
            </w:pPr>
            <w:r>
              <w:rPr>
                <w:rFonts w:hint="eastAsia" w:ascii="Times New Roman" w:hAnsi="Times New Roman"/>
                <w:color w:val="000000"/>
              </w:rPr>
              <w:t>近三年完成的类似项目的年份要求</w:t>
            </w:r>
          </w:p>
        </w:tc>
        <w:tc>
          <w:tcPr>
            <w:tcW w:w="2933" w:type="pct"/>
            <w:tcBorders>
              <w:top w:val="single" w:color="auto" w:sz="4" w:space="0"/>
              <w:left w:val="single" w:color="auto" w:sz="4" w:space="0"/>
              <w:bottom w:val="single" w:color="auto" w:sz="4" w:space="0"/>
              <w:right w:val="single" w:color="auto" w:sz="4" w:space="0"/>
            </w:tcBorders>
            <w:vAlign w:val="center"/>
          </w:tcPr>
          <w:p w14:paraId="223BA09B">
            <w:pPr>
              <w:spacing w:line="300" w:lineRule="auto"/>
              <w:jc w:val="center"/>
              <w:rPr>
                <w:rFonts w:ascii="Times New Roman" w:hAnsi="Times New Roman"/>
                <w:color w:val="000000"/>
                <w:highlight w:val="yellow"/>
              </w:rPr>
            </w:pPr>
            <w:r>
              <w:rPr>
                <w:rFonts w:hint="eastAsia" w:ascii="Times New Roman" w:hAnsi="Times New Roman"/>
                <w:color w:val="000000"/>
              </w:rPr>
              <w:t>2023 年1月至2025年12月</w:t>
            </w:r>
          </w:p>
        </w:tc>
      </w:tr>
      <w:tr w14:paraId="377346A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3C3B945">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4</w:t>
            </w:r>
          </w:p>
        </w:tc>
        <w:tc>
          <w:tcPr>
            <w:tcW w:w="1477" w:type="pct"/>
            <w:tcBorders>
              <w:top w:val="single" w:color="auto" w:sz="4" w:space="0"/>
              <w:left w:val="single" w:color="auto" w:sz="4" w:space="0"/>
              <w:bottom w:val="single" w:color="auto" w:sz="4" w:space="0"/>
              <w:right w:val="single" w:color="auto" w:sz="4" w:space="0"/>
            </w:tcBorders>
            <w:vAlign w:val="center"/>
          </w:tcPr>
          <w:p w14:paraId="56A74CCE">
            <w:pPr>
              <w:spacing w:line="300" w:lineRule="auto"/>
              <w:rPr>
                <w:rFonts w:ascii="Times New Roman" w:hAnsi="Times New Roman"/>
                <w:color w:val="000000"/>
              </w:rPr>
            </w:pPr>
            <w:r>
              <w:rPr>
                <w:rFonts w:hint="eastAsia" w:ascii="Times New Roman" w:hAnsi="Times New Roman"/>
                <w:color w:val="000000"/>
              </w:rPr>
              <w:t>近三年发生的诉讼及仲裁情况的年份要求</w:t>
            </w:r>
          </w:p>
        </w:tc>
        <w:tc>
          <w:tcPr>
            <w:tcW w:w="2933" w:type="pct"/>
            <w:tcBorders>
              <w:top w:val="single" w:color="auto" w:sz="4" w:space="0"/>
              <w:left w:val="single" w:color="auto" w:sz="4" w:space="0"/>
              <w:bottom w:val="single" w:color="auto" w:sz="4" w:space="0"/>
              <w:right w:val="single" w:color="auto" w:sz="4" w:space="0"/>
            </w:tcBorders>
            <w:vAlign w:val="center"/>
          </w:tcPr>
          <w:p w14:paraId="6B3A5246">
            <w:pPr>
              <w:spacing w:line="300" w:lineRule="auto"/>
              <w:jc w:val="center"/>
              <w:rPr>
                <w:rFonts w:ascii="Times New Roman" w:hAnsi="Times New Roman"/>
                <w:color w:val="000000"/>
                <w:highlight w:val="yellow"/>
              </w:rPr>
            </w:pPr>
            <w:r>
              <w:rPr>
                <w:rFonts w:hint="eastAsia" w:ascii="Times New Roman" w:hAnsi="Times New Roman"/>
                <w:color w:val="000000"/>
              </w:rPr>
              <w:t>2023年1月1日至2025年12月31日</w:t>
            </w:r>
          </w:p>
        </w:tc>
      </w:tr>
      <w:tr w14:paraId="6CF1A8A3">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C6A855A">
            <w:pPr>
              <w:spacing w:line="300" w:lineRule="auto"/>
              <w:rPr>
                <w:rFonts w:ascii="Times New Roman" w:hAnsi="Times New Roman"/>
                <w:color w:val="000000"/>
              </w:rPr>
            </w:pPr>
            <w:r>
              <w:rPr>
                <w:rFonts w:ascii="Times New Roman" w:hAnsi="Times New Roman"/>
                <w:color w:val="000000"/>
              </w:rPr>
              <w:t>3.7.4</w:t>
            </w:r>
          </w:p>
        </w:tc>
        <w:tc>
          <w:tcPr>
            <w:tcW w:w="1477" w:type="pct"/>
            <w:tcBorders>
              <w:top w:val="single" w:color="auto" w:sz="4" w:space="0"/>
              <w:left w:val="single" w:color="auto" w:sz="4" w:space="0"/>
              <w:bottom w:val="single" w:color="auto" w:sz="4" w:space="0"/>
              <w:right w:val="single" w:color="auto" w:sz="4" w:space="0"/>
            </w:tcBorders>
            <w:vAlign w:val="center"/>
          </w:tcPr>
          <w:p w14:paraId="7D8AC43A">
            <w:pPr>
              <w:spacing w:line="300" w:lineRule="auto"/>
              <w:rPr>
                <w:rFonts w:ascii="Times New Roman" w:hAnsi="Times New Roman"/>
                <w:color w:val="000000"/>
              </w:rPr>
            </w:pPr>
            <w:r>
              <w:rPr>
                <w:rFonts w:hint="eastAsia" w:ascii="Times New Roman" w:hAnsi="Times New Roman"/>
                <w:color w:val="000000"/>
              </w:rPr>
              <w:t>投标文件加密上传</w:t>
            </w:r>
          </w:p>
        </w:tc>
        <w:tc>
          <w:tcPr>
            <w:tcW w:w="2933" w:type="pct"/>
            <w:tcBorders>
              <w:top w:val="single" w:color="auto" w:sz="4" w:space="0"/>
              <w:left w:val="single" w:color="auto" w:sz="4" w:space="0"/>
              <w:bottom w:val="single" w:color="auto" w:sz="4" w:space="0"/>
              <w:right w:val="single" w:color="auto" w:sz="4" w:space="0"/>
            </w:tcBorders>
            <w:vAlign w:val="center"/>
          </w:tcPr>
          <w:p w14:paraId="4F96F2E9">
            <w:pPr>
              <w:spacing w:line="300" w:lineRule="auto"/>
              <w:rPr>
                <w:rFonts w:ascii="Times New Roman" w:hAnsi="Times New Roman"/>
                <w:color w:val="000000"/>
              </w:rPr>
            </w:pPr>
            <w:r>
              <w:rPr>
                <w:rFonts w:hint="eastAsia" w:ascii="Times New Roman" w:hAnsi="Times New Roman"/>
                <w:b/>
                <w:bCs/>
                <w:color w:val="000000"/>
              </w:rPr>
              <w:t>投标单位须在递交投标截止时间前将投标文件加密上传到网上，注意保存密码。</w:t>
            </w:r>
          </w:p>
        </w:tc>
      </w:tr>
      <w:tr w14:paraId="1E101C2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A5D2B1A">
            <w:pPr>
              <w:spacing w:line="300" w:lineRule="auto"/>
              <w:rPr>
                <w:rFonts w:ascii="Times New Roman" w:hAnsi="Times New Roman"/>
                <w:color w:val="000000"/>
              </w:rPr>
            </w:pPr>
            <w:r>
              <w:rPr>
                <w:rFonts w:hint="eastAsia" w:ascii="Times New Roman" w:hAnsi="Times New Roman"/>
                <w:color w:val="000000"/>
              </w:rPr>
              <w:t>4.1.2</w:t>
            </w:r>
          </w:p>
        </w:tc>
        <w:tc>
          <w:tcPr>
            <w:tcW w:w="1477" w:type="pct"/>
            <w:tcBorders>
              <w:top w:val="single" w:color="auto" w:sz="4" w:space="0"/>
              <w:left w:val="single" w:color="auto" w:sz="4" w:space="0"/>
              <w:bottom w:val="single" w:color="auto" w:sz="4" w:space="0"/>
              <w:right w:val="single" w:color="auto" w:sz="4" w:space="0"/>
            </w:tcBorders>
            <w:vAlign w:val="center"/>
          </w:tcPr>
          <w:p w14:paraId="234B464F">
            <w:pPr>
              <w:spacing w:line="300" w:lineRule="auto"/>
              <w:ind w:firstLine="420" w:firstLineChars="200"/>
              <w:rPr>
                <w:rFonts w:ascii="Times New Roman" w:hAnsi="Times New Roman"/>
                <w:color w:val="000000"/>
              </w:rPr>
            </w:pPr>
            <w:r>
              <w:rPr>
                <w:rFonts w:hint="eastAsia" w:ascii="Times New Roman" w:hAnsi="Times New Roman"/>
                <w:color w:val="000000"/>
              </w:rPr>
              <w:t>文件递交</w:t>
            </w:r>
          </w:p>
        </w:tc>
        <w:tc>
          <w:tcPr>
            <w:tcW w:w="2933" w:type="pct"/>
            <w:tcBorders>
              <w:top w:val="single" w:color="auto" w:sz="4" w:space="0"/>
              <w:left w:val="single" w:color="auto" w:sz="4" w:space="0"/>
              <w:bottom w:val="single" w:color="auto" w:sz="4" w:space="0"/>
              <w:right w:val="single" w:color="auto" w:sz="4" w:space="0"/>
            </w:tcBorders>
            <w:vAlign w:val="center"/>
          </w:tcPr>
          <w:p w14:paraId="19D51194">
            <w:pPr>
              <w:spacing w:line="300" w:lineRule="auto"/>
              <w:rPr>
                <w:rFonts w:ascii="Times New Roman" w:hAnsi="Times New Roman"/>
                <w:color w:val="000000"/>
              </w:rPr>
            </w:pPr>
            <w:r>
              <w:rPr>
                <w:rFonts w:hint="eastAsia" w:ascii="Times New Roman" w:hAnsi="Times New Roman"/>
                <w:color w:val="000000"/>
              </w:rPr>
              <w:t>本项目为网上投标，</w:t>
            </w:r>
            <w:r>
              <w:rPr>
                <w:rFonts w:hint="eastAsia"/>
              </w:rPr>
              <w:t>上传至济钢集团有限公司阳光购销平台（网址：</w:t>
            </w:r>
            <w:r>
              <w:rPr>
                <w:rFonts w:hint="eastAsia"/>
              </w:rPr>
              <w:fldChar w:fldCharType="begin"/>
            </w:r>
            <w:r>
              <w:instrText xml:space="preserve"> HYPERLINK "http://bidding.jigang.com.cn" </w:instrText>
            </w:r>
            <w:r>
              <w:rPr>
                <w:rFonts w:hint="eastAsia"/>
              </w:rPr>
              <w:fldChar w:fldCharType="separate"/>
            </w:r>
            <w:r>
              <w:rPr>
                <w:rFonts w:hint="eastAsia"/>
              </w:rPr>
              <w:t>http://bidding.jigang.com.cn</w:t>
            </w:r>
            <w:r>
              <w:rPr>
                <w:rFonts w:hint="eastAsia"/>
              </w:rPr>
              <w:fldChar w:fldCharType="end"/>
            </w:r>
            <w:r>
              <w:rPr>
                <w:rFonts w:hint="eastAsia"/>
              </w:rPr>
              <w:t>/）</w:t>
            </w:r>
            <w:r>
              <w:rPr>
                <w:rFonts w:hint="eastAsia" w:ascii="Times New Roman" w:hAnsi="Times New Roman"/>
                <w:color w:val="000000"/>
              </w:rPr>
              <w:t>。</w:t>
            </w:r>
          </w:p>
        </w:tc>
      </w:tr>
      <w:tr w14:paraId="7165B2E4">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B15DA23">
            <w:pPr>
              <w:spacing w:line="300" w:lineRule="auto"/>
              <w:rPr>
                <w:rFonts w:ascii="Times New Roman" w:hAnsi="Times New Roman"/>
                <w:color w:val="000000"/>
              </w:rPr>
            </w:pPr>
            <w:r>
              <w:rPr>
                <w:rFonts w:hint="eastAsia" w:ascii="Times New Roman" w:hAnsi="Times New Roman"/>
                <w:color w:val="000000"/>
              </w:rPr>
              <w:t>4.1.3</w:t>
            </w:r>
          </w:p>
        </w:tc>
        <w:tc>
          <w:tcPr>
            <w:tcW w:w="1477" w:type="pct"/>
            <w:tcBorders>
              <w:top w:val="single" w:color="auto" w:sz="4" w:space="0"/>
              <w:left w:val="single" w:color="auto" w:sz="4" w:space="0"/>
              <w:bottom w:val="single" w:color="auto" w:sz="4" w:space="0"/>
              <w:right w:val="single" w:color="auto" w:sz="4" w:space="0"/>
            </w:tcBorders>
            <w:vAlign w:val="center"/>
          </w:tcPr>
          <w:p w14:paraId="405E7138">
            <w:pPr>
              <w:spacing w:line="300" w:lineRule="auto"/>
              <w:rPr>
                <w:rFonts w:ascii="Times New Roman" w:hAnsi="Times New Roman"/>
                <w:color w:val="000000"/>
                <w:highlight w:val="none"/>
              </w:rPr>
            </w:pPr>
            <w:r>
              <w:rPr>
                <w:rFonts w:hint="eastAsia" w:ascii="Times New Roman" w:hAnsi="Times New Roman"/>
                <w:color w:val="000000"/>
                <w:highlight w:val="none"/>
              </w:rPr>
              <w:t>递交投标文件的截止时间</w:t>
            </w:r>
          </w:p>
          <w:p w14:paraId="022A389B">
            <w:pPr>
              <w:spacing w:line="300" w:lineRule="auto"/>
              <w:ind w:firstLine="420" w:firstLineChars="200"/>
              <w:rPr>
                <w:rFonts w:ascii="Times New Roman" w:hAnsi="Times New Roman"/>
                <w:color w:val="000000"/>
                <w:highlight w:val="none"/>
              </w:rPr>
            </w:pPr>
            <w:r>
              <w:rPr>
                <w:rFonts w:hint="eastAsia" w:ascii="Times New Roman" w:hAnsi="Times New Roman"/>
                <w:color w:val="000000"/>
                <w:highlight w:val="none"/>
              </w:rPr>
              <w:t>(投标截止时间)</w:t>
            </w:r>
          </w:p>
        </w:tc>
        <w:tc>
          <w:tcPr>
            <w:tcW w:w="2933" w:type="pct"/>
            <w:tcBorders>
              <w:top w:val="single" w:color="auto" w:sz="4" w:space="0"/>
              <w:left w:val="single" w:color="auto" w:sz="4" w:space="0"/>
              <w:bottom w:val="single" w:color="auto" w:sz="4" w:space="0"/>
              <w:right w:val="single" w:color="auto" w:sz="4" w:space="0"/>
            </w:tcBorders>
            <w:vAlign w:val="center"/>
          </w:tcPr>
          <w:p w14:paraId="28CA3BD2">
            <w:pPr>
              <w:spacing w:line="300" w:lineRule="auto"/>
              <w:ind w:firstLine="630" w:firstLineChars="300"/>
              <w:rPr>
                <w:rFonts w:ascii="Times New Roman" w:hAnsi="Times New Roman"/>
                <w:color w:val="000000"/>
                <w:highlight w:val="none"/>
              </w:rPr>
            </w:pPr>
            <w:r>
              <w:rPr>
                <w:rFonts w:hint="eastAsia" w:ascii="Times New Roman" w:hAnsi="Times New Roman"/>
                <w:color w:val="000000"/>
                <w:highlight w:val="none"/>
                <w:lang w:val="en-US" w:eastAsia="zh-CN"/>
              </w:rPr>
              <w:t>2026</w:t>
            </w:r>
            <w:r>
              <w:rPr>
                <w:rFonts w:hint="eastAsia" w:ascii="Times New Roman" w:hAnsi="Times New Roman"/>
                <w:color w:val="000000"/>
                <w:highlight w:val="none"/>
              </w:rPr>
              <w:t>年</w:t>
            </w:r>
            <w:r>
              <w:rPr>
                <w:rFonts w:hint="eastAsia" w:ascii="Times New Roman" w:hAnsi="Times New Roman"/>
                <w:color w:val="000000"/>
                <w:highlight w:val="none"/>
                <w:lang w:val="en-US" w:eastAsia="zh-CN"/>
              </w:rPr>
              <w:t>1</w:t>
            </w:r>
            <w:r>
              <w:rPr>
                <w:rFonts w:hint="eastAsia" w:ascii="Times New Roman" w:hAnsi="Times New Roman"/>
                <w:color w:val="000000"/>
                <w:highlight w:val="none"/>
              </w:rPr>
              <w:t>月</w:t>
            </w:r>
            <w:r>
              <w:rPr>
                <w:rFonts w:hint="eastAsia" w:ascii="Times New Roman" w:hAnsi="Times New Roman"/>
                <w:color w:val="000000"/>
                <w:highlight w:val="none"/>
                <w:lang w:val="en-US" w:eastAsia="zh-CN"/>
              </w:rPr>
              <w:t>29</w:t>
            </w:r>
            <w:r>
              <w:rPr>
                <w:rFonts w:hint="eastAsia" w:ascii="Times New Roman" w:hAnsi="Times New Roman"/>
                <w:color w:val="000000"/>
                <w:highlight w:val="none"/>
              </w:rPr>
              <w:t>日上午</w:t>
            </w:r>
            <w:r>
              <w:rPr>
                <w:rFonts w:hint="eastAsia" w:ascii="Times New Roman" w:hAnsi="Times New Roman"/>
                <w:color w:val="000000"/>
                <w:highlight w:val="none"/>
                <w:lang w:val="en-US" w:eastAsia="zh-CN"/>
              </w:rPr>
              <w:t>9</w:t>
            </w:r>
            <w:r>
              <w:rPr>
                <w:rFonts w:hint="eastAsia" w:ascii="Times New Roman" w:hAnsi="Times New Roman"/>
                <w:color w:val="000000"/>
                <w:highlight w:val="none"/>
              </w:rPr>
              <w:t>时</w:t>
            </w:r>
          </w:p>
        </w:tc>
      </w:tr>
      <w:tr w14:paraId="692601AB">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58CD03C">
            <w:pPr>
              <w:spacing w:line="300" w:lineRule="auto"/>
              <w:rPr>
                <w:rFonts w:ascii="Times New Roman" w:hAnsi="Times New Roman"/>
                <w:color w:val="000000"/>
              </w:rPr>
            </w:pPr>
            <w:r>
              <w:rPr>
                <w:rFonts w:ascii="Times New Roman" w:hAnsi="Times New Roman"/>
                <w:color w:val="000000"/>
              </w:rPr>
              <w:t>4.</w:t>
            </w:r>
            <w:r>
              <w:rPr>
                <w:rFonts w:hint="eastAsia" w:ascii="Times New Roman" w:hAnsi="Times New Roman"/>
                <w:color w:val="000000"/>
              </w:rPr>
              <w:t>1.4</w:t>
            </w:r>
          </w:p>
        </w:tc>
        <w:tc>
          <w:tcPr>
            <w:tcW w:w="1477" w:type="pct"/>
            <w:tcBorders>
              <w:top w:val="single" w:color="auto" w:sz="4" w:space="0"/>
              <w:left w:val="single" w:color="auto" w:sz="4" w:space="0"/>
              <w:bottom w:val="single" w:color="auto" w:sz="4" w:space="0"/>
              <w:right w:val="single" w:color="auto" w:sz="4" w:space="0"/>
            </w:tcBorders>
            <w:vAlign w:val="center"/>
          </w:tcPr>
          <w:p w14:paraId="661D6DEE">
            <w:pPr>
              <w:spacing w:line="300" w:lineRule="auto"/>
              <w:ind w:firstLine="420" w:firstLineChars="200"/>
              <w:rPr>
                <w:rFonts w:ascii="Times New Roman" w:hAnsi="Times New Roman"/>
                <w:color w:val="000000"/>
              </w:rPr>
            </w:pPr>
            <w:r>
              <w:rPr>
                <w:rFonts w:hint="eastAsia" w:ascii="Times New Roman" w:hAnsi="Times New Roman"/>
                <w:color w:val="000000"/>
              </w:rPr>
              <w:t>递交投标文件地点</w:t>
            </w:r>
          </w:p>
        </w:tc>
        <w:tc>
          <w:tcPr>
            <w:tcW w:w="2933" w:type="pct"/>
            <w:tcBorders>
              <w:top w:val="single" w:color="auto" w:sz="4" w:space="0"/>
              <w:left w:val="single" w:color="auto" w:sz="4" w:space="0"/>
              <w:bottom w:val="single" w:color="auto" w:sz="4" w:space="0"/>
              <w:right w:val="single" w:color="auto" w:sz="4" w:space="0"/>
            </w:tcBorders>
            <w:vAlign w:val="center"/>
          </w:tcPr>
          <w:p w14:paraId="120F1F07">
            <w:pPr>
              <w:spacing w:line="300" w:lineRule="auto"/>
              <w:rPr>
                <w:rFonts w:ascii="Times New Roman" w:hAnsi="Times New Roman"/>
                <w:color w:val="000000"/>
              </w:rPr>
            </w:pPr>
            <w:r>
              <w:rPr>
                <w:rFonts w:hint="eastAsia"/>
              </w:rPr>
              <w:t>上传至济钢集团有限公司阳光购销平台（网址：</w:t>
            </w:r>
            <w:r>
              <w:rPr>
                <w:rFonts w:hint="eastAsia"/>
              </w:rPr>
              <w:fldChar w:fldCharType="begin"/>
            </w:r>
            <w:r>
              <w:rPr>
                <w:rFonts w:hint="eastAsia"/>
              </w:rPr>
              <w:instrText xml:space="preserve"> HYPERLINK "http://bidding.jigang.com.cn" </w:instrText>
            </w:r>
            <w:r>
              <w:rPr>
                <w:rFonts w:hint="eastAsia"/>
              </w:rPr>
              <w:fldChar w:fldCharType="separate"/>
            </w:r>
            <w:r>
              <w:rPr>
                <w:rFonts w:hint="eastAsia"/>
              </w:rPr>
              <w:t>http://bidding.jigang.com.cn</w:t>
            </w:r>
            <w:r>
              <w:rPr>
                <w:rFonts w:hint="eastAsia"/>
              </w:rPr>
              <w:fldChar w:fldCharType="end"/>
            </w:r>
            <w:r>
              <w:rPr>
                <w:rFonts w:hint="eastAsia"/>
              </w:rPr>
              <w:t>/）</w:t>
            </w:r>
          </w:p>
        </w:tc>
      </w:tr>
      <w:tr w14:paraId="27678403">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21AEAD0">
            <w:pPr>
              <w:spacing w:line="300" w:lineRule="auto"/>
              <w:rPr>
                <w:rFonts w:ascii="Times New Roman" w:hAnsi="Times New Roman"/>
                <w:color w:val="000000"/>
              </w:rPr>
            </w:pPr>
            <w:r>
              <w:rPr>
                <w:rFonts w:ascii="Times New Roman" w:hAnsi="Times New Roman"/>
                <w:color w:val="000000"/>
              </w:rPr>
              <w:t>4.</w:t>
            </w:r>
            <w:r>
              <w:rPr>
                <w:rFonts w:hint="eastAsia" w:ascii="Times New Roman" w:hAnsi="Times New Roman"/>
                <w:color w:val="000000"/>
              </w:rPr>
              <w:t>1.5</w:t>
            </w:r>
          </w:p>
        </w:tc>
        <w:tc>
          <w:tcPr>
            <w:tcW w:w="1477" w:type="pct"/>
            <w:tcBorders>
              <w:top w:val="single" w:color="auto" w:sz="4" w:space="0"/>
              <w:left w:val="single" w:color="auto" w:sz="4" w:space="0"/>
              <w:bottom w:val="single" w:color="auto" w:sz="4" w:space="0"/>
              <w:right w:val="single" w:color="auto" w:sz="4" w:space="0"/>
            </w:tcBorders>
            <w:vAlign w:val="center"/>
          </w:tcPr>
          <w:p w14:paraId="0DAF2AC5">
            <w:pPr>
              <w:spacing w:line="300" w:lineRule="auto"/>
              <w:ind w:firstLine="420" w:firstLineChars="200"/>
              <w:rPr>
                <w:rFonts w:ascii="Times New Roman" w:hAnsi="Times New Roman"/>
                <w:color w:val="000000"/>
              </w:rPr>
            </w:pPr>
            <w:r>
              <w:rPr>
                <w:rFonts w:hint="eastAsia" w:ascii="Times New Roman" w:hAnsi="Times New Roman"/>
                <w:color w:val="000000"/>
              </w:rPr>
              <w:t>是否退还投标文件</w:t>
            </w:r>
          </w:p>
        </w:tc>
        <w:tc>
          <w:tcPr>
            <w:tcW w:w="2933" w:type="pct"/>
            <w:tcBorders>
              <w:top w:val="single" w:color="auto" w:sz="4" w:space="0"/>
              <w:left w:val="single" w:color="auto" w:sz="4" w:space="0"/>
              <w:bottom w:val="single" w:color="auto" w:sz="4" w:space="0"/>
              <w:right w:val="single" w:color="auto" w:sz="4" w:space="0"/>
            </w:tcBorders>
            <w:vAlign w:val="center"/>
          </w:tcPr>
          <w:p w14:paraId="14088F20">
            <w:pPr>
              <w:spacing w:line="300" w:lineRule="auto"/>
              <w:ind w:firstLine="420" w:firstLineChars="200"/>
              <w:rPr>
                <w:rFonts w:ascii="Times New Roman" w:hAnsi="Times New Roman"/>
                <w:color w:val="000000"/>
              </w:rPr>
            </w:pPr>
            <w:r>
              <w:rPr>
                <w:rFonts w:hint="eastAsia" w:ascii="Times New Roman" w:hAnsi="Times New Roman"/>
                <w:color w:val="000000"/>
              </w:rPr>
              <w:t>否</w:t>
            </w:r>
          </w:p>
        </w:tc>
      </w:tr>
      <w:tr w14:paraId="4C45002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9402235">
            <w:pPr>
              <w:spacing w:line="300" w:lineRule="auto"/>
              <w:rPr>
                <w:rFonts w:ascii="Times New Roman" w:hAnsi="Times New Roman"/>
                <w:color w:val="000000"/>
              </w:rPr>
            </w:pPr>
            <w:r>
              <w:rPr>
                <w:rFonts w:hint="eastAsia" w:ascii="Times New Roman" w:hAnsi="Times New Roman"/>
                <w:color w:val="000000"/>
              </w:rPr>
              <w:t>4.1.6</w:t>
            </w:r>
          </w:p>
        </w:tc>
        <w:tc>
          <w:tcPr>
            <w:tcW w:w="1477" w:type="pct"/>
            <w:tcBorders>
              <w:top w:val="single" w:color="auto" w:sz="4" w:space="0"/>
              <w:left w:val="single" w:color="auto" w:sz="4" w:space="0"/>
              <w:bottom w:val="single" w:color="auto" w:sz="4" w:space="0"/>
              <w:right w:val="single" w:color="auto" w:sz="4" w:space="0"/>
            </w:tcBorders>
            <w:vAlign w:val="center"/>
          </w:tcPr>
          <w:p w14:paraId="3C6D3128">
            <w:pPr>
              <w:spacing w:line="360" w:lineRule="exact"/>
              <w:ind w:left="105" w:leftChars="-50" w:right="-105" w:rightChars="-50" w:hanging="210" w:hangingChars="100"/>
              <w:jc w:val="center"/>
              <w:rPr>
                <w:rFonts w:ascii="Times New Roman" w:hAnsi="Times New Roman"/>
                <w:color w:val="000000"/>
              </w:rPr>
            </w:pPr>
            <w:r>
              <w:rPr>
                <w:rFonts w:hint="eastAsia"/>
              </w:rPr>
              <w:t>纸质投标文件装订要求（中标单位提供纸质版投标文件）</w:t>
            </w:r>
          </w:p>
        </w:tc>
        <w:tc>
          <w:tcPr>
            <w:tcW w:w="2933" w:type="pct"/>
            <w:tcBorders>
              <w:top w:val="single" w:color="auto" w:sz="4" w:space="0"/>
              <w:left w:val="single" w:color="auto" w:sz="4" w:space="0"/>
              <w:bottom w:val="single" w:color="auto" w:sz="4" w:space="0"/>
              <w:right w:val="single" w:color="auto" w:sz="4" w:space="0"/>
            </w:tcBorders>
            <w:vAlign w:val="center"/>
          </w:tcPr>
          <w:p w14:paraId="4403A692">
            <w:pPr>
              <w:spacing w:line="340" w:lineRule="exact"/>
              <w:jc w:val="left"/>
              <w:rPr>
                <w:rFonts w:hint="eastAsia"/>
              </w:rPr>
            </w:pPr>
            <w:r>
              <w:rPr>
                <w:rFonts w:hint="eastAsia"/>
              </w:rPr>
              <w:t>1、投标文件的正本与副本应分别装订成册。</w:t>
            </w:r>
          </w:p>
          <w:p w14:paraId="5B19FD1D">
            <w:pPr>
              <w:spacing w:line="340" w:lineRule="exact"/>
              <w:jc w:val="left"/>
              <w:rPr>
                <w:rFonts w:hint="eastAsia"/>
              </w:rPr>
            </w:pPr>
            <w:r>
              <w:rPr>
                <w:rFonts w:hint="eastAsia"/>
              </w:rPr>
              <w:t>2、投标文件每册均须采用胶装方式在左侧装订，装订须牢固不易拆散和换页，不得采用活页方式装订。</w:t>
            </w:r>
          </w:p>
          <w:p w14:paraId="0F1025B8">
            <w:pPr>
              <w:spacing w:line="340" w:lineRule="exact"/>
              <w:rPr>
                <w:rFonts w:hint="eastAsia"/>
              </w:rPr>
            </w:pPr>
            <w:r>
              <w:rPr>
                <w:rFonts w:hint="eastAsia"/>
              </w:rPr>
              <w:t>3、投标文件正本和副本的封面上应清楚地标记“正本”或“副本”的字样；正本和副本如有不一致之处，以正本为准。</w:t>
            </w:r>
          </w:p>
          <w:p w14:paraId="7983B1B2">
            <w:pPr>
              <w:pStyle w:val="46"/>
              <w:ind w:left="0" w:leftChars="0" w:right="-105" w:rightChars="-50" w:firstLine="0" w:firstLineChars="0"/>
              <w:rPr>
                <w:rFonts w:hint="eastAsia" w:ascii="等线" w:hAnsi="等线" w:eastAsia="等线"/>
                <w:kern w:val="2"/>
                <w:sz w:val="21"/>
                <w:szCs w:val="22"/>
              </w:rPr>
            </w:pPr>
            <w:r>
              <w:rPr>
                <w:rFonts w:hint="eastAsia" w:ascii="等线" w:hAnsi="等线" w:eastAsia="等线"/>
                <w:kern w:val="2"/>
                <w:sz w:val="21"/>
                <w:szCs w:val="22"/>
              </w:rPr>
              <w:t>4、投标单位收到中标通知书后3日内，需将纸质投标文件邮寄到山东省济南市官庄街道青野村东，济南黄河爆破工程有限责任公司，收件人：于工，收件人手机号：17860611790</w:t>
            </w:r>
          </w:p>
        </w:tc>
      </w:tr>
      <w:tr w14:paraId="1BC91B0A">
        <w:tblPrEx>
          <w:tblCellMar>
            <w:top w:w="0" w:type="dxa"/>
            <w:left w:w="108" w:type="dxa"/>
            <w:bottom w:w="0" w:type="dxa"/>
            <w:right w:w="108" w:type="dxa"/>
          </w:tblCellMar>
        </w:tblPrEx>
        <w:trPr>
          <w:trHeight w:val="880" w:hRule="atLeast"/>
        </w:trPr>
        <w:tc>
          <w:tcPr>
            <w:tcW w:w="589" w:type="pct"/>
            <w:tcBorders>
              <w:top w:val="single" w:color="auto" w:sz="4" w:space="0"/>
              <w:left w:val="single" w:color="auto" w:sz="4" w:space="0"/>
              <w:right w:val="single" w:color="auto" w:sz="4" w:space="0"/>
            </w:tcBorders>
            <w:vAlign w:val="center"/>
          </w:tcPr>
          <w:p w14:paraId="0E240089">
            <w:pPr>
              <w:spacing w:line="300" w:lineRule="auto"/>
              <w:rPr>
                <w:rFonts w:ascii="Times New Roman" w:hAnsi="Times New Roman"/>
                <w:color w:val="000000"/>
              </w:rPr>
            </w:pPr>
            <w:r>
              <w:rPr>
                <w:rFonts w:ascii="Times New Roman" w:hAnsi="Times New Roman"/>
                <w:color w:val="000000"/>
              </w:rPr>
              <w:t>5.1</w:t>
            </w:r>
            <w:r>
              <w:rPr>
                <w:rFonts w:hint="eastAsia" w:ascii="Times New Roman" w:hAnsi="Times New Roman"/>
                <w:color w:val="000000"/>
              </w:rPr>
              <w:t>.1</w:t>
            </w:r>
          </w:p>
        </w:tc>
        <w:tc>
          <w:tcPr>
            <w:tcW w:w="1477" w:type="pct"/>
            <w:tcBorders>
              <w:top w:val="single" w:color="auto" w:sz="4" w:space="0"/>
              <w:left w:val="single" w:color="auto" w:sz="4" w:space="0"/>
              <w:right w:val="single" w:color="auto" w:sz="4" w:space="0"/>
            </w:tcBorders>
            <w:vAlign w:val="center"/>
          </w:tcPr>
          <w:p w14:paraId="163540DE">
            <w:pPr>
              <w:spacing w:line="300" w:lineRule="auto"/>
              <w:ind w:firstLine="420" w:firstLineChars="200"/>
              <w:rPr>
                <w:rFonts w:ascii="Times New Roman" w:hAnsi="Times New Roman"/>
                <w:color w:val="000000"/>
              </w:rPr>
            </w:pPr>
            <w:r>
              <w:rPr>
                <w:rFonts w:hint="eastAsia" w:ascii="Times New Roman" w:hAnsi="Times New Roman"/>
                <w:color w:val="000000"/>
              </w:rPr>
              <w:t>开标时间和地点</w:t>
            </w:r>
          </w:p>
        </w:tc>
        <w:tc>
          <w:tcPr>
            <w:tcW w:w="2933" w:type="pct"/>
            <w:tcBorders>
              <w:top w:val="single" w:color="auto" w:sz="4" w:space="0"/>
              <w:left w:val="single" w:color="auto" w:sz="4" w:space="0"/>
              <w:right w:val="single" w:color="auto" w:sz="4" w:space="0"/>
            </w:tcBorders>
            <w:vAlign w:val="center"/>
          </w:tcPr>
          <w:p w14:paraId="140647DD">
            <w:pPr>
              <w:spacing w:line="300" w:lineRule="auto"/>
              <w:rPr>
                <w:rFonts w:ascii="Times New Roman" w:hAnsi="Times New Roman"/>
                <w:color w:val="000000"/>
                <w:highlight w:val="yellow"/>
              </w:rPr>
            </w:pPr>
            <w:r>
              <w:rPr>
                <w:rFonts w:hint="eastAsia" w:ascii="Times New Roman" w:hAnsi="Times New Roman"/>
                <w:color w:val="000000"/>
              </w:rPr>
              <w:t>开标</w:t>
            </w:r>
            <w:r>
              <w:rPr>
                <w:rFonts w:hint="eastAsia" w:ascii="Times New Roman" w:hAnsi="Times New Roman"/>
                <w:color w:val="000000"/>
                <w:highlight w:val="none"/>
              </w:rPr>
              <w:t>时间：</w:t>
            </w:r>
            <w:r>
              <w:rPr>
                <w:rFonts w:hint="eastAsia" w:ascii="Times New Roman" w:hAnsi="Times New Roman"/>
                <w:color w:val="000000"/>
                <w:highlight w:val="none"/>
                <w:lang w:val="en-US" w:eastAsia="zh-CN"/>
              </w:rPr>
              <w:t>2026</w:t>
            </w:r>
            <w:r>
              <w:rPr>
                <w:rFonts w:hint="eastAsia" w:ascii="Times New Roman" w:hAnsi="Times New Roman"/>
                <w:color w:val="000000"/>
                <w:highlight w:val="none"/>
              </w:rPr>
              <w:t>年</w:t>
            </w:r>
            <w:r>
              <w:rPr>
                <w:rFonts w:hint="eastAsia" w:ascii="Times New Roman" w:hAnsi="Times New Roman"/>
                <w:color w:val="000000"/>
                <w:highlight w:val="none"/>
                <w:lang w:val="en-US" w:eastAsia="zh-CN"/>
              </w:rPr>
              <w:t>1</w:t>
            </w:r>
            <w:r>
              <w:rPr>
                <w:rFonts w:hint="eastAsia" w:ascii="Times New Roman" w:hAnsi="Times New Roman"/>
                <w:color w:val="000000"/>
                <w:highlight w:val="none"/>
              </w:rPr>
              <w:t>月</w:t>
            </w:r>
            <w:r>
              <w:rPr>
                <w:rFonts w:hint="eastAsia" w:ascii="Times New Roman" w:hAnsi="Times New Roman"/>
                <w:color w:val="000000"/>
                <w:highlight w:val="none"/>
                <w:lang w:val="en-US" w:eastAsia="zh-CN"/>
              </w:rPr>
              <w:t>29</w:t>
            </w:r>
            <w:r>
              <w:rPr>
                <w:rFonts w:hint="eastAsia" w:ascii="Times New Roman" w:hAnsi="Times New Roman"/>
                <w:color w:val="000000"/>
                <w:highlight w:val="none"/>
              </w:rPr>
              <w:t>日上午</w:t>
            </w:r>
            <w:r>
              <w:rPr>
                <w:rFonts w:hint="eastAsia" w:ascii="Times New Roman" w:hAnsi="Times New Roman"/>
                <w:color w:val="000000"/>
                <w:highlight w:val="none"/>
                <w:lang w:val="en-US" w:eastAsia="zh-CN"/>
              </w:rPr>
              <w:t>9</w:t>
            </w:r>
            <w:r>
              <w:rPr>
                <w:rFonts w:hint="eastAsia" w:ascii="Times New Roman" w:hAnsi="Times New Roman"/>
                <w:color w:val="000000"/>
                <w:highlight w:val="none"/>
              </w:rPr>
              <w:t>时</w:t>
            </w:r>
          </w:p>
          <w:p w14:paraId="4FFF9A23">
            <w:pPr>
              <w:spacing w:line="300" w:lineRule="auto"/>
              <w:rPr>
                <w:rFonts w:ascii="Times New Roman" w:hAnsi="Times New Roman"/>
                <w:color w:val="000000"/>
              </w:rPr>
            </w:pPr>
            <w:r>
              <w:rPr>
                <w:rFonts w:hint="eastAsia" w:ascii="Times New Roman" w:hAnsi="Times New Roman"/>
                <w:color w:val="000000"/>
              </w:rPr>
              <w:t>开标地点：网上开标</w:t>
            </w:r>
          </w:p>
        </w:tc>
      </w:tr>
      <w:tr w14:paraId="4DAE23C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D1F1ECF">
            <w:pPr>
              <w:spacing w:line="300" w:lineRule="auto"/>
              <w:rPr>
                <w:rFonts w:ascii="Times New Roman" w:hAnsi="Times New Roman"/>
                <w:color w:val="000000"/>
              </w:rPr>
            </w:pPr>
            <w:r>
              <w:rPr>
                <w:rFonts w:hint="eastAsia" w:ascii="Times New Roman" w:hAnsi="Times New Roman"/>
                <w:color w:val="000000"/>
              </w:rPr>
              <w:t>6.1.1</w:t>
            </w:r>
          </w:p>
        </w:tc>
        <w:tc>
          <w:tcPr>
            <w:tcW w:w="1477" w:type="pct"/>
            <w:tcBorders>
              <w:top w:val="single" w:color="auto" w:sz="4" w:space="0"/>
              <w:left w:val="single" w:color="auto" w:sz="4" w:space="0"/>
              <w:bottom w:val="single" w:color="auto" w:sz="4" w:space="0"/>
              <w:right w:val="single" w:color="auto" w:sz="4" w:space="0"/>
            </w:tcBorders>
            <w:vAlign w:val="center"/>
          </w:tcPr>
          <w:p w14:paraId="7DEDAC4F">
            <w:pPr>
              <w:spacing w:line="300" w:lineRule="auto"/>
              <w:ind w:firstLine="420" w:firstLineChars="200"/>
              <w:rPr>
                <w:rFonts w:ascii="Times New Roman" w:hAnsi="Times New Roman"/>
                <w:color w:val="000000"/>
                <w:highlight w:val="yellow"/>
              </w:rPr>
            </w:pPr>
            <w:r>
              <w:rPr>
                <w:rFonts w:hint="eastAsia" w:ascii="Times New Roman" w:hAnsi="Times New Roman"/>
                <w:color w:val="000000"/>
                <w:highlight w:val="none"/>
                <w:lang w:val="en-US" w:eastAsia="zh-CN"/>
              </w:rPr>
              <w:t>合同</w:t>
            </w:r>
            <w:r>
              <w:rPr>
                <w:rFonts w:hint="eastAsia" w:ascii="Times New Roman" w:hAnsi="Times New Roman"/>
                <w:color w:val="000000"/>
                <w:highlight w:val="none"/>
              </w:rPr>
              <w:t>履约保证金</w:t>
            </w:r>
          </w:p>
        </w:tc>
        <w:tc>
          <w:tcPr>
            <w:tcW w:w="2933" w:type="pct"/>
            <w:tcBorders>
              <w:top w:val="single" w:color="auto" w:sz="4" w:space="0"/>
              <w:left w:val="single" w:color="auto" w:sz="4" w:space="0"/>
              <w:bottom w:val="single" w:color="auto" w:sz="4" w:space="0"/>
              <w:right w:val="single" w:color="auto" w:sz="4" w:space="0"/>
            </w:tcBorders>
            <w:vAlign w:val="center"/>
          </w:tcPr>
          <w:p w14:paraId="72D291F6">
            <w:pPr>
              <w:spacing w:line="360" w:lineRule="auto"/>
              <w:rPr>
                <w:rFonts w:hint="eastAsia" w:ascii="等线" w:hAnsi="等线" w:eastAsia="等线" w:cs="Times New Roman"/>
                <w:kern w:val="2"/>
                <w:sz w:val="21"/>
                <w:szCs w:val="22"/>
                <w:lang w:val="en-US" w:eastAsia="zh-CN" w:bidi="ar-SA"/>
              </w:rPr>
            </w:pPr>
            <w:r>
              <w:rPr>
                <w:rFonts w:hint="eastAsia" w:ascii="等线" w:hAnsi="等线" w:eastAsia="等线" w:cs="Times New Roman"/>
                <w:kern w:val="2"/>
                <w:sz w:val="21"/>
                <w:szCs w:val="22"/>
                <w:lang w:val="en-US" w:eastAsia="zh-CN" w:bidi="ar-SA"/>
              </w:rPr>
              <w:t>陆万元整（￥60000元），招标人通知中标人签订合同前3日内将合同履约保证金电汇到招标人账户，逾期交纳的视为放弃本中标。</w:t>
            </w:r>
          </w:p>
          <w:p w14:paraId="5CDBAF6F">
            <w:pPr>
              <w:spacing w:line="360" w:lineRule="auto"/>
              <w:rPr>
                <w:rFonts w:hint="eastAsia" w:ascii="等线" w:hAnsi="等线" w:eastAsia="等线" w:cs="Times New Roman"/>
                <w:kern w:val="2"/>
                <w:sz w:val="21"/>
                <w:szCs w:val="22"/>
                <w:lang w:val="en-US" w:eastAsia="zh-CN" w:bidi="ar-SA"/>
              </w:rPr>
            </w:pPr>
            <w:r>
              <w:rPr>
                <w:rFonts w:hint="eastAsia" w:ascii="等线" w:hAnsi="等线" w:eastAsia="等线" w:cs="Times New Roman"/>
                <w:kern w:val="2"/>
                <w:sz w:val="21"/>
                <w:szCs w:val="22"/>
                <w:lang w:val="en-US" w:eastAsia="zh-CN" w:bidi="ar-SA"/>
              </w:rPr>
              <w:t>收款账户：济南黄河爆破工程有限责任公司</w:t>
            </w:r>
          </w:p>
          <w:p w14:paraId="6AE37E2A">
            <w:pPr>
              <w:spacing w:line="360" w:lineRule="auto"/>
              <w:rPr>
                <w:rFonts w:hint="eastAsia" w:ascii="等线" w:hAnsi="等线" w:eastAsia="等线" w:cs="Times New Roman"/>
                <w:kern w:val="2"/>
                <w:sz w:val="21"/>
                <w:szCs w:val="22"/>
                <w:lang w:val="en-US" w:eastAsia="zh-CN" w:bidi="ar-SA"/>
              </w:rPr>
            </w:pPr>
            <w:r>
              <w:rPr>
                <w:rFonts w:hint="eastAsia" w:ascii="等线" w:hAnsi="等线" w:eastAsia="等线" w:cs="Times New Roman"/>
                <w:kern w:val="2"/>
                <w:sz w:val="21"/>
                <w:szCs w:val="22"/>
                <w:lang w:val="en-US" w:eastAsia="zh-CN" w:bidi="ar-SA"/>
              </w:rPr>
              <w:t>开户行：中国工商银行济南东郊支行</w:t>
            </w:r>
          </w:p>
          <w:p w14:paraId="3CB8DB2A">
            <w:pPr>
              <w:spacing w:line="360" w:lineRule="auto"/>
              <w:rPr>
                <w:rFonts w:hint="eastAsia" w:ascii="等线" w:hAnsi="等线" w:eastAsia="等线" w:cs="Times New Roman"/>
                <w:kern w:val="2"/>
                <w:sz w:val="21"/>
                <w:szCs w:val="22"/>
                <w:lang w:val="en-US" w:eastAsia="zh-CN" w:bidi="ar-SA"/>
              </w:rPr>
            </w:pPr>
            <w:r>
              <w:rPr>
                <w:rFonts w:hint="eastAsia" w:ascii="等线" w:hAnsi="等线" w:eastAsia="等线" w:cs="Times New Roman"/>
                <w:kern w:val="2"/>
                <w:sz w:val="21"/>
                <w:szCs w:val="22"/>
                <w:lang w:val="en-US" w:eastAsia="zh-CN" w:bidi="ar-SA"/>
              </w:rPr>
              <w:t>银行账户：1602003419201075070</w:t>
            </w:r>
          </w:p>
          <w:p w14:paraId="37C9C503">
            <w:pPr>
              <w:spacing w:line="360" w:lineRule="auto"/>
              <w:rPr>
                <w:rFonts w:hint="eastAsia" w:ascii="等线" w:hAnsi="等线" w:eastAsia="等线" w:cs="Times New Roman"/>
                <w:kern w:val="2"/>
                <w:sz w:val="21"/>
                <w:szCs w:val="22"/>
                <w:lang w:val="en-US" w:eastAsia="zh-CN" w:bidi="ar-SA"/>
              </w:rPr>
            </w:pPr>
            <w:r>
              <w:rPr>
                <w:rFonts w:hint="eastAsia" w:ascii="等线" w:hAnsi="等线" w:eastAsia="等线" w:cs="Times New Roman"/>
                <w:kern w:val="2"/>
                <w:sz w:val="21"/>
                <w:szCs w:val="22"/>
                <w:lang w:val="en-US" w:eastAsia="zh-CN" w:bidi="ar-SA"/>
              </w:rPr>
              <w:t>行号：102451000344</w:t>
            </w:r>
          </w:p>
          <w:p w14:paraId="6BD28A16">
            <w:pPr>
              <w:spacing w:line="360" w:lineRule="auto"/>
              <w:rPr>
                <w:rFonts w:ascii="Times New Roman" w:hAnsi="Times New Roman"/>
                <w:color w:val="000000"/>
                <w:highlight w:val="yellow"/>
              </w:rPr>
            </w:pPr>
            <w:r>
              <w:rPr>
                <w:rFonts w:hint="eastAsia" w:ascii="等线" w:hAnsi="等线" w:eastAsia="等线" w:cs="Times New Roman"/>
                <w:kern w:val="2"/>
                <w:sz w:val="21"/>
                <w:szCs w:val="22"/>
                <w:lang w:val="en-US" w:eastAsia="zh-CN" w:bidi="ar-SA"/>
              </w:rPr>
              <w:t>工程竣工验收合格后，30日内合同履约保证金无息返还。</w:t>
            </w:r>
          </w:p>
        </w:tc>
      </w:tr>
      <w:tr w14:paraId="5595B340">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2CA081E2">
            <w:pPr>
              <w:spacing w:line="300" w:lineRule="auto"/>
              <w:rPr>
                <w:rFonts w:ascii="Times New Roman" w:hAnsi="Times New Roman"/>
                <w:color w:val="000000"/>
              </w:rPr>
            </w:pPr>
            <w:bookmarkStart w:id="217" w:name="_GoBack"/>
            <w:bookmarkEnd w:id="217"/>
            <w:r>
              <w:rPr>
                <w:rFonts w:hint="eastAsia" w:ascii="Times New Roman" w:hAnsi="Times New Roman"/>
                <w:color w:val="000000"/>
              </w:rPr>
              <w:t>7.1.1</w:t>
            </w:r>
          </w:p>
        </w:tc>
        <w:tc>
          <w:tcPr>
            <w:tcW w:w="1477" w:type="pct"/>
            <w:tcBorders>
              <w:top w:val="single" w:color="auto" w:sz="4" w:space="0"/>
              <w:left w:val="single" w:color="auto" w:sz="4" w:space="0"/>
              <w:bottom w:val="single" w:color="auto" w:sz="4" w:space="0"/>
              <w:right w:val="single" w:color="auto" w:sz="4" w:space="0"/>
            </w:tcBorders>
            <w:vAlign w:val="center"/>
          </w:tcPr>
          <w:p w14:paraId="24A39218">
            <w:pPr>
              <w:spacing w:line="300" w:lineRule="auto"/>
              <w:ind w:firstLine="420" w:firstLineChars="200"/>
              <w:rPr>
                <w:rFonts w:ascii="Times New Roman" w:hAnsi="Times New Roman"/>
                <w:color w:val="000000"/>
              </w:rPr>
            </w:pPr>
            <w:r>
              <w:rPr>
                <w:rFonts w:hint="eastAsia" w:ascii="Times New Roman" w:hAnsi="Times New Roman"/>
                <w:color w:val="000000"/>
              </w:rPr>
              <w:t>中标服务费</w:t>
            </w:r>
          </w:p>
        </w:tc>
        <w:tc>
          <w:tcPr>
            <w:tcW w:w="2933" w:type="pct"/>
            <w:tcBorders>
              <w:top w:val="single" w:color="auto" w:sz="4" w:space="0"/>
              <w:left w:val="single" w:color="auto" w:sz="4" w:space="0"/>
              <w:bottom w:val="single" w:color="auto" w:sz="4" w:space="0"/>
              <w:right w:val="single" w:color="auto" w:sz="4" w:space="0"/>
            </w:tcBorders>
            <w:vAlign w:val="center"/>
          </w:tcPr>
          <w:p w14:paraId="32287823">
            <w:pPr>
              <w:spacing w:line="300" w:lineRule="auto"/>
              <w:ind w:firstLine="1470" w:firstLineChars="700"/>
              <w:rPr>
                <w:rFonts w:ascii="Times New Roman" w:hAnsi="Times New Roman"/>
                <w:color w:val="000000"/>
              </w:rPr>
            </w:pPr>
            <w:r>
              <w:rPr>
                <w:rFonts w:hint="eastAsia" w:ascii="Times New Roman" w:hAnsi="Times New Roman"/>
                <w:color w:val="000000"/>
              </w:rPr>
              <w:t>无</w:t>
            </w:r>
          </w:p>
        </w:tc>
      </w:tr>
      <w:tr w14:paraId="3237B03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1C482FD">
            <w:pPr>
              <w:spacing w:line="300" w:lineRule="auto"/>
              <w:rPr>
                <w:rFonts w:ascii="Times New Roman" w:hAnsi="Times New Roman"/>
                <w:color w:val="000000"/>
              </w:rPr>
            </w:pPr>
            <w:r>
              <w:rPr>
                <w:rFonts w:hint="eastAsia" w:ascii="Times New Roman" w:hAnsi="Times New Roman"/>
                <w:color w:val="000000"/>
              </w:rPr>
              <w:t>8.1.1</w:t>
            </w:r>
          </w:p>
        </w:tc>
        <w:tc>
          <w:tcPr>
            <w:tcW w:w="1477" w:type="pct"/>
            <w:tcBorders>
              <w:top w:val="single" w:color="auto" w:sz="4" w:space="0"/>
              <w:left w:val="single" w:color="auto" w:sz="4" w:space="0"/>
              <w:bottom w:val="single" w:color="auto" w:sz="4" w:space="0"/>
              <w:right w:val="single" w:color="auto" w:sz="4" w:space="0"/>
            </w:tcBorders>
            <w:vAlign w:val="center"/>
          </w:tcPr>
          <w:p w14:paraId="5AE1FBE0">
            <w:pPr>
              <w:spacing w:line="300" w:lineRule="auto"/>
              <w:ind w:firstLine="420" w:firstLineChars="200"/>
              <w:rPr>
                <w:rFonts w:ascii="Times New Roman" w:hAnsi="Times New Roman"/>
                <w:color w:val="000000"/>
              </w:rPr>
            </w:pPr>
            <w:r>
              <w:rPr>
                <w:rFonts w:hint="eastAsia" w:ascii="Times New Roman" w:hAnsi="Times New Roman"/>
                <w:color w:val="000000"/>
              </w:rPr>
              <w:t>开标程序</w:t>
            </w:r>
          </w:p>
        </w:tc>
        <w:tc>
          <w:tcPr>
            <w:tcW w:w="2933" w:type="pct"/>
            <w:tcBorders>
              <w:top w:val="single" w:color="auto" w:sz="4" w:space="0"/>
              <w:left w:val="single" w:color="auto" w:sz="4" w:space="0"/>
              <w:bottom w:val="single" w:color="auto" w:sz="4" w:space="0"/>
              <w:right w:val="single" w:color="auto" w:sz="4" w:space="0"/>
            </w:tcBorders>
            <w:vAlign w:val="center"/>
          </w:tcPr>
          <w:p w14:paraId="2A88A3A8">
            <w:pPr>
              <w:spacing w:line="300" w:lineRule="auto"/>
              <w:rPr>
                <w:rFonts w:ascii="Times New Roman" w:hAnsi="Times New Roman"/>
                <w:color w:val="000000"/>
              </w:rPr>
            </w:pPr>
            <w:r>
              <w:rPr>
                <w:rFonts w:hint="eastAsia" w:ascii="Times New Roman" w:hAnsi="Times New Roman"/>
                <w:color w:val="000000"/>
              </w:rPr>
              <w:t>1.截至开标时间，招标人主持开标会，宣布开标。公开唱标，唱标的内容包括投标人名称，报价等信息。</w:t>
            </w:r>
          </w:p>
          <w:p w14:paraId="56FB315B">
            <w:pPr>
              <w:spacing w:line="300" w:lineRule="auto"/>
              <w:rPr>
                <w:rFonts w:ascii="Times New Roman" w:hAnsi="Times New Roman"/>
                <w:color w:val="000000"/>
              </w:rPr>
            </w:pPr>
            <w:r>
              <w:rPr>
                <w:rFonts w:hint="eastAsia" w:ascii="Times New Roman" w:hAnsi="Times New Roman"/>
                <w:color w:val="000000"/>
              </w:rPr>
              <w:t>2.评审过程中，如果评审委员会要求投标人对投标文件进行澄清，投标人需要在规定时间内解答、澄清。</w:t>
            </w:r>
          </w:p>
          <w:p w14:paraId="7DA15B47">
            <w:pPr>
              <w:spacing w:line="300" w:lineRule="auto"/>
              <w:rPr>
                <w:rFonts w:ascii="Times New Roman" w:hAnsi="Times New Roman"/>
                <w:color w:val="000000"/>
              </w:rPr>
            </w:pPr>
            <w:r>
              <w:rPr>
                <w:rFonts w:hint="eastAsia" w:ascii="Times New Roman" w:hAnsi="Times New Roman"/>
                <w:color w:val="000000"/>
              </w:rPr>
              <w:t>3.投标人不足3家的，不得开标。</w:t>
            </w:r>
          </w:p>
        </w:tc>
      </w:tr>
      <w:tr w14:paraId="618B89B5">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D70573F">
            <w:pPr>
              <w:spacing w:line="300" w:lineRule="auto"/>
              <w:rPr>
                <w:rFonts w:ascii="Times New Roman" w:hAnsi="Times New Roman"/>
                <w:color w:val="000000"/>
              </w:rPr>
            </w:pPr>
            <w:r>
              <w:rPr>
                <w:rFonts w:hint="eastAsia" w:ascii="Times New Roman" w:hAnsi="Times New Roman"/>
                <w:color w:val="000000"/>
              </w:rPr>
              <w:t>9.1.1</w:t>
            </w:r>
          </w:p>
        </w:tc>
        <w:tc>
          <w:tcPr>
            <w:tcW w:w="1477" w:type="pct"/>
            <w:tcBorders>
              <w:top w:val="single" w:color="auto" w:sz="4" w:space="0"/>
              <w:left w:val="single" w:color="auto" w:sz="4" w:space="0"/>
              <w:bottom w:val="single" w:color="auto" w:sz="4" w:space="0"/>
              <w:right w:val="single" w:color="auto" w:sz="4" w:space="0"/>
            </w:tcBorders>
            <w:vAlign w:val="center"/>
          </w:tcPr>
          <w:p w14:paraId="79CFCBDF">
            <w:pPr>
              <w:spacing w:line="300" w:lineRule="auto"/>
              <w:ind w:firstLine="420" w:firstLineChars="200"/>
              <w:rPr>
                <w:rFonts w:ascii="Times New Roman" w:hAnsi="Times New Roman"/>
                <w:b/>
                <w:bCs/>
                <w:color w:val="000000"/>
                <w:highlight w:val="none"/>
              </w:rPr>
            </w:pPr>
            <w:r>
              <w:rPr>
                <w:rFonts w:hint="eastAsia" w:ascii="Times New Roman" w:hAnsi="Times New Roman"/>
                <w:b/>
                <w:bCs/>
                <w:color w:val="000000"/>
                <w:highlight w:val="none"/>
              </w:rPr>
              <w:t>招标控制价</w:t>
            </w:r>
          </w:p>
        </w:tc>
        <w:tc>
          <w:tcPr>
            <w:tcW w:w="2933" w:type="pct"/>
            <w:tcBorders>
              <w:top w:val="single" w:color="auto" w:sz="4" w:space="0"/>
              <w:left w:val="single" w:color="auto" w:sz="4" w:space="0"/>
              <w:bottom w:val="single" w:color="auto" w:sz="4" w:space="0"/>
              <w:right w:val="single" w:color="auto" w:sz="4" w:space="0"/>
            </w:tcBorders>
            <w:vAlign w:val="center"/>
          </w:tcPr>
          <w:p w14:paraId="33CD2EDC">
            <w:pPr>
              <w:spacing w:line="300" w:lineRule="auto"/>
              <w:rPr>
                <w:rFonts w:hint="eastAsia" w:ascii="Times New Roman" w:hAnsi="Times New Roman" w:eastAsia="等线"/>
                <w:b/>
                <w:bCs/>
                <w:color w:val="FF0000"/>
                <w:highlight w:val="none"/>
                <w:lang w:eastAsia="zh-CN"/>
              </w:rPr>
            </w:pPr>
            <w:r>
              <w:rPr>
                <w:rFonts w:hint="eastAsia" w:ascii="Times New Roman" w:hAnsi="Times New Roman"/>
                <w:color w:val="000000"/>
                <w:highlight w:val="none"/>
              </w:rPr>
              <w:t>133.4万元</w:t>
            </w:r>
            <w:r>
              <w:rPr>
                <w:rFonts w:hint="eastAsia" w:ascii="Times New Roman" w:hAnsi="Times New Roman"/>
                <w:color w:val="000000"/>
                <w:highlight w:val="none"/>
                <w:lang w:eastAsia="zh-CN"/>
              </w:rPr>
              <w:t>（</w:t>
            </w:r>
            <w:r>
              <w:rPr>
                <w:rFonts w:hint="eastAsia" w:ascii="Times New Roman" w:hAnsi="Times New Roman"/>
                <w:color w:val="000000"/>
                <w:highlight w:val="none"/>
                <w:lang w:val="en-US" w:eastAsia="zh-CN"/>
              </w:rPr>
              <w:t>含暂列金5万元</w:t>
            </w:r>
            <w:r>
              <w:rPr>
                <w:rFonts w:hint="eastAsia" w:ascii="Times New Roman" w:hAnsi="Times New Roman"/>
                <w:color w:val="000000"/>
                <w:highlight w:val="none"/>
                <w:lang w:eastAsia="zh-CN"/>
              </w:rPr>
              <w:t>）</w:t>
            </w:r>
            <w:r>
              <w:rPr>
                <w:rFonts w:hint="eastAsia" w:ascii="Times New Roman" w:hAnsi="Times New Roman"/>
                <w:color w:val="000000"/>
                <w:highlight w:val="none"/>
                <w:lang w:val="en-US" w:eastAsia="zh-CN"/>
              </w:rPr>
              <w:t>超过控制价的做无效标处理。</w:t>
            </w:r>
          </w:p>
        </w:tc>
      </w:tr>
      <w:tr w14:paraId="1F705FAF">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12ED226">
            <w:pPr>
              <w:widowControl/>
              <w:adjustRightInd w:val="0"/>
              <w:spacing w:line="440" w:lineRule="exact"/>
              <w:jc w:val="center"/>
              <w:textAlignment w:val="baseline"/>
              <w:rPr>
                <w:rFonts w:ascii="Calibri" w:hAnsi="Calibri" w:eastAsia="宋体"/>
                <w:kern w:val="0"/>
                <w:sz w:val="20"/>
                <w:szCs w:val="21"/>
              </w:rPr>
            </w:pPr>
            <w:r>
              <w:rPr>
                <w:rFonts w:ascii="Calibri" w:hAnsi="Calibri" w:eastAsia="宋体"/>
                <w:kern w:val="0"/>
                <w:sz w:val="20"/>
                <w:szCs w:val="21"/>
              </w:rPr>
              <w:t>……</w:t>
            </w:r>
          </w:p>
        </w:tc>
        <w:tc>
          <w:tcPr>
            <w:tcW w:w="4410" w:type="pct"/>
            <w:gridSpan w:val="2"/>
            <w:tcBorders>
              <w:top w:val="single" w:color="auto" w:sz="4" w:space="0"/>
              <w:left w:val="single" w:color="auto" w:sz="4" w:space="0"/>
              <w:bottom w:val="single" w:color="auto" w:sz="4" w:space="0"/>
              <w:right w:val="single" w:color="auto" w:sz="4" w:space="0"/>
            </w:tcBorders>
            <w:vAlign w:val="center"/>
          </w:tcPr>
          <w:p w14:paraId="3C40DD23">
            <w:pPr>
              <w:widowControl/>
              <w:adjustRightInd w:val="0"/>
              <w:spacing w:line="440" w:lineRule="exact"/>
              <w:jc w:val="center"/>
              <w:textAlignment w:val="baseline"/>
              <w:rPr>
                <w:rFonts w:ascii="Calibri" w:hAnsi="Calibri" w:eastAsia="宋体"/>
                <w:kern w:val="0"/>
                <w:sz w:val="20"/>
                <w:szCs w:val="21"/>
              </w:rPr>
            </w:pPr>
            <w:r>
              <w:rPr>
                <w:rFonts w:ascii="Calibri" w:hAnsi="Calibri" w:eastAsia="宋体"/>
                <w:kern w:val="0"/>
                <w:sz w:val="20"/>
                <w:szCs w:val="21"/>
              </w:rPr>
              <w:t>……</w:t>
            </w:r>
          </w:p>
        </w:tc>
      </w:tr>
    </w:tbl>
    <w:p w14:paraId="7DB1D9E4">
      <w:pPr>
        <w:pStyle w:val="46"/>
        <w:ind w:firstLine="400"/>
        <w:rPr>
          <w:rFonts w:eastAsia="黑体"/>
        </w:rPr>
      </w:pPr>
      <w:bookmarkStart w:id="9" w:name="_Toc312072282"/>
      <w:bookmarkStart w:id="10" w:name="_Toc179632616"/>
      <w:r>
        <w:br w:type="page"/>
      </w:r>
    </w:p>
    <w:p w14:paraId="3513797E">
      <w:pPr>
        <w:pStyle w:val="161"/>
        <w:widowControl/>
        <w:spacing w:before="0" w:line="300" w:lineRule="auto"/>
        <w:ind w:firstLine="2520" w:firstLineChars="700"/>
        <w:rPr>
          <w:color w:val="000000"/>
          <w:sz w:val="36"/>
          <w:szCs w:val="36"/>
        </w:rPr>
      </w:pPr>
      <w:bookmarkStart w:id="11" w:name="_Toc25275"/>
      <w:r>
        <w:rPr>
          <w:rFonts w:hint="eastAsia"/>
          <w:color w:val="000000"/>
          <w:sz w:val="36"/>
          <w:szCs w:val="36"/>
        </w:rPr>
        <w:t>投标人须知正文部分</w:t>
      </w:r>
      <w:bookmarkEnd w:id="11"/>
    </w:p>
    <w:p w14:paraId="4728A419">
      <w:pPr>
        <w:pStyle w:val="161"/>
        <w:widowControl/>
        <w:spacing w:before="0" w:line="300" w:lineRule="auto"/>
        <w:outlineLvl w:val="9"/>
        <w:rPr>
          <w:color w:val="000000"/>
          <w:sz w:val="30"/>
          <w:szCs w:val="30"/>
        </w:rPr>
      </w:pPr>
      <w:r>
        <w:rPr>
          <w:color w:val="000000"/>
          <w:sz w:val="30"/>
          <w:szCs w:val="30"/>
        </w:rPr>
        <w:t xml:space="preserve">1. </w:t>
      </w:r>
      <w:r>
        <w:rPr>
          <w:rFonts w:hint="eastAsia"/>
          <w:color w:val="000000"/>
          <w:sz w:val="30"/>
          <w:szCs w:val="30"/>
        </w:rPr>
        <w:t>总则</w:t>
      </w:r>
    </w:p>
    <w:p w14:paraId="7D2C3E4D">
      <w:pPr>
        <w:pStyle w:val="4"/>
        <w:widowControl/>
        <w:spacing w:before="0" w:after="0" w:line="300" w:lineRule="auto"/>
        <w:rPr>
          <w:rFonts w:hint="eastAsia"/>
          <w:bCs w:val="0"/>
          <w:color w:val="000000"/>
        </w:rPr>
      </w:pPr>
      <w:bookmarkStart w:id="12" w:name="_Toc18593"/>
      <w:r>
        <w:rPr>
          <w:bCs w:val="0"/>
          <w:color w:val="000000"/>
        </w:rPr>
        <w:t xml:space="preserve">1.1 </w:t>
      </w:r>
      <w:r>
        <w:rPr>
          <w:rFonts w:hint="eastAsia"/>
          <w:bCs w:val="0"/>
          <w:color w:val="000000"/>
        </w:rPr>
        <w:t>项目概况</w:t>
      </w:r>
      <w:bookmarkEnd w:id="12"/>
    </w:p>
    <w:p w14:paraId="255F0D68">
      <w:pPr>
        <w:spacing w:line="300" w:lineRule="auto"/>
        <w:ind w:firstLine="420" w:firstLineChars="200"/>
        <w:rPr>
          <w:rFonts w:ascii="Times New Roman" w:hAnsi="Times New Roman"/>
          <w:color w:val="000000"/>
        </w:rPr>
      </w:pPr>
      <w:r>
        <w:rPr>
          <w:rFonts w:ascii="Times New Roman" w:hAnsi="Times New Roman"/>
          <w:color w:val="000000"/>
        </w:rPr>
        <w:t>1.1.1</w:t>
      </w:r>
      <w:r>
        <w:rPr>
          <w:rFonts w:hint="eastAsia" w:ascii="Times New Roman"/>
          <w:color w:val="000000"/>
        </w:rPr>
        <w:t>根据《中华人民共和国招标投标法》、《中华人民共和国招标投标法实施条例》等有关法律、法规规定，本项目已具备招标条件，现采用公开招标方式对该项目施工进行招标；</w:t>
      </w:r>
    </w:p>
    <w:p w14:paraId="4A9204F4">
      <w:pPr>
        <w:spacing w:line="300" w:lineRule="auto"/>
        <w:ind w:firstLine="420" w:firstLineChars="200"/>
        <w:rPr>
          <w:rFonts w:ascii="Times New Roman" w:hAnsi="Times New Roman"/>
          <w:color w:val="000000"/>
        </w:rPr>
      </w:pPr>
      <w:r>
        <w:rPr>
          <w:rFonts w:ascii="Times New Roman" w:hAnsi="Times New Roman"/>
          <w:color w:val="000000"/>
        </w:rPr>
        <w:t xml:space="preserve">1.1.2 </w:t>
      </w:r>
      <w:r>
        <w:rPr>
          <w:rFonts w:hint="eastAsia" w:ascii="Times New Roman"/>
          <w:color w:val="000000"/>
        </w:rPr>
        <w:t>本项目招标人：见投标人须知前附表；</w:t>
      </w:r>
    </w:p>
    <w:p w14:paraId="5ED4EAFE">
      <w:pPr>
        <w:spacing w:line="300" w:lineRule="auto"/>
        <w:ind w:firstLine="420" w:firstLineChars="200"/>
        <w:rPr>
          <w:rFonts w:ascii="Times New Roman" w:hAnsi="Times New Roman"/>
          <w:color w:val="000000"/>
        </w:rPr>
      </w:pPr>
      <w:r>
        <w:rPr>
          <w:rFonts w:ascii="Times New Roman" w:hAnsi="Times New Roman"/>
          <w:color w:val="000000"/>
        </w:rPr>
        <w:t xml:space="preserve">1.1.3 </w:t>
      </w:r>
      <w:r>
        <w:rPr>
          <w:rFonts w:hint="eastAsia" w:ascii="Times New Roman"/>
          <w:color w:val="000000"/>
        </w:rPr>
        <w:t>本项目名称、招标编号：见投标人须知前附表；</w:t>
      </w:r>
    </w:p>
    <w:p w14:paraId="2947F0C2">
      <w:pPr>
        <w:spacing w:line="300" w:lineRule="auto"/>
        <w:ind w:firstLine="420" w:firstLineChars="200"/>
        <w:rPr>
          <w:rFonts w:ascii="Times New Roman" w:hAnsi="Times New Roman"/>
          <w:color w:val="000000"/>
        </w:rPr>
      </w:pPr>
      <w:r>
        <w:rPr>
          <w:rFonts w:ascii="Times New Roman" w:hAnsi="Times New Roman"/>
          <w:color w:val="000000"/>
        </w:rPr>
        <w:t xml:space="preserve">1.1.4 </w:t>
      </w:r>
      <w:r>
        <w:rPr>
          <w:rFonts w:hint="eastAsia" w:ascii="Times New Roman"/>
          <w:color w:val="000000"/>
        </w:rPr>
        <w:t>本项目工程概况：见投标人须知前附表；</w:t>
      </w:r>
    </w:p>
    <w:p w14:paraId="47EC1E30">
      <w:pPr>
        <w:spacing w:line="300" w:lineRule="auto"/>
        <w:ind w:firstLine="420" w:firstLineChars="200"/>
        <w:rPr>
          <w:rFonts w:ascii="Times New Roman" w:hAnsi="Times New Roman"/>
          <w:color w:val="000000"/>
        </w:rPr>
      </w:pPr>
      <w:r>
        <w:rPr>
          <w:rFonts w:ascii="Times New Roman" w:hAnsi="Times New Roman"/>
          <w:color w:val="000000"/>
        </w:rPr>
        <w:t xml:space="preserve">1.1.5 </w:t>
      </w:r>
      <w:r>
        <w:rPr>
          <w:rFonts w:hint="eastAsia" w:ascii="Times New Roman"/>
          <w:color w:val="000000"/>
        </w:rPr>
        <w:t>本项目建设地点：见投标人须知前附表。</w:t>
      </w:r>
    </w:p>
    <w:p w14:paraId="484EFDDD">
      <w:pPr>
        <w:pStyle w:val="4"/>
        <w:widowControl/>
        <w:spacing w:before="0" w:after="0" w:line="300" w:lineRule="auto"/>
        <w:rPr>
          <w:rFonts w:hint="eastAsia"/>
          <w:bCs w:val="0"/>
          <w:color w:val="000000"/>
        </w:rPr>
      </w:pPr>
      <w:bookmarkStart w:id="13" w:name="_Toc24945"/>
      <w:r>
        <w:rPr>
          <w:bCs w:val="0"/>
          <w:color w:val="000000"/>
        </w:rPr>
        <w:t>1.2</w:t>
      </w:r>
      <w:r>
        <w:rPr>
          <w:rFonts w:hint="eastAsia"/>
          <w:bCs w:val="0"/>
          <w:color w:val="000000"/>
        </w:rPr>
        <w:t>资金来源、招标方式</w:t>
      </w:r>
      <w:bookmarkEnd w:id="13"/>
    </w:p>
    <w:p w14:paraId="196DECBE">
      <w:pPr>
        <w:spacing w:line="300" w:lineRule="auto"/>
        <w:ind w:firstLine="420" w:firstLineChars="200"/>
        <w:rPr>
          <w:rFonts w:ascii="Times New Roman" w:hAnsi="Times New Roman"/>
          <w:color w:val="000000"/>
        </w:rPr>
      </w:pPr>
      <w:r>
        <w:rPr>
          <w:rFonts w:ascii="Times New Roman" w:hAnsi="Times New Roman"/>
          <w:color w:val="000000"/>
        </w:rPr>
        <w:t>1.2.1</w:t>
      </w:r>
      <w:r>
        <w:rPr>
          <w:rFonts w:hint="eastAsia" w:ascii="Times New Roman"/>
          <w:color w:val="000000"/>
        </w:rPr>
        <w:t>本项目资金来源见投标人须知前附表；</w:t>
      </w:r>
    </w:p>
    <w:p w14:paraId="291FE641">
      <w:pPr>
        <w:spacing w:line="300" w:lineRule="auto"/>
        <w:ind w:firstLine="420" w:firstLineChars="200"/>
        <w:rPr>
          <w:rFonts w:ascii="Times New Roman" w:hAnsi="Times New Roman"/>
          <w:color w:val="000000"/>
        </w:rPr>
      </w:pPr>
      <w:r>
        <w:rPr>
          <w:rFonts w:ascii="Times New Roman" w:hAnsi="Times New Roman"/>
          <w:color w:val="000000"/>
        </w:rPr>
        <w:t>1.2.2</w:t>
      </w:r>
      <w:r>
        <w:rPr>
          <w:rFonts w:hint="eastAsia" w:ascii="Times New Roman"/>
          <w:color w:val="000000"/>
        </w:rPr>
        <w:t>本项目招标方式见投标人须知前附表。</w:t>
      </w:r>
    </w:p>
    <w:p w14:paraId="47D10C0D">
      <w:pPr>
        <w:pStyle w:val="4"/>
        <w:widowControl/>
        <w:spacing w:before="0" w:after="0" w:line="300" w:lineRule="auto"/>
        <w:rPr>
          <w:rFonts w:hint="eastAsia"/>
          <w:bCs w:val="0"/>
          <w:color w:val="000000"/>
        </w:rPr>
      </w:pPr>
      <w:bookmarkStart w:id="14" w:name="_Toc26281"/>
      <w:r>
        <w:rPr>
          <w:bCs w:val="0"/>
          <w:color w:val="000000"/>
        </w:rPr>
        <w:t xml:space="preserve">1.3 </w:t>
      </w:r>
      <w:r>
        <w:rPr>
          <w:rFonts w:hint="eastAsia"/>
          <w:bCs w:val="0"/>
          <w:color w:val="000000"/>
        </w:rPr>
        <w:t>招标范围、工期、质量和质保期</w:t>
      </w:r>
      <w:bookmarkEnd w:id="14"/>
    </w:p>
    <w:p w14:paraId="39C830A8">
      <w:pPr>
        <w:spacing w:line="300" w:lineRule="auto"/>
        <w:ind w:firstLine="420" w:firstLineChars="200"/>
        <w:rPr>
          <w:rFonts w:ascii="Times New Roman" w:hAnsi="Times New Roman"/>
          <w:color w:val="000000"/>
        </w:rPr>
      </w:pPr>
      <w:r>
        <w:rPr>
          <w:rFonts w:ascii="Times New Roman" w:hAnsi="Times New Roman"/>
          <w:color w:val="000000"/>
        </w:rPr>
        <w:t>1.3.1</w:t>
      </w:r>
      <w:r>
        <w:rPr>
          <w:rFonts w:hint="eastAsia" w:ascii="Times New Roman"/>
          <w:color w:val="000000"/>
        </w:rPr>
        <w:t>本项目招标范围见投标人须知前附表；</w:t>
      </w:r>
    </w:p>
    <w:p w14:paraId="4FFF6004">
      <w:pPr>
        <w:spacing w:line="300" w:lineRule="auto"/>
        <w:ind w:firstLine="420" w:firstLineChars="200"/>
        <w:rPr>
          <w:rFonts w:ascii="Times New Roman" w:hAnsi="Times New Roman"/>
          <w:color w:val="000000"/>
        </w:rPr>
      </w:pPr>
      <w:r>
        <w:rPr>
          <w:rFonts w:ascii="Times New Roman" w:hAnsi="Times New Roman"/>
          <w:color w:val="000000"/>
        </w:rPr>
        <w:t>1.3.2</w:t>
      </w:r>
      <w:r>
        <w:rPr>
          <w:rFonts w:hint="eastAsia" w:ascii="Times New Roman"/>
          <w:color w:val="000000"/>
        </w:rPr>
        <w:t>本项目工期见投标人须知前附表；</w:t>
      </w:r>
    </w:p>
    <w:p w14:paraId="13136222">
      <w:pPr>
        <w:spacing w:line="300" w:lineRule="auto"/>
        <w:ind w:firstLine="420" w:firstLineChars="200"/>
        <w:rPr>
          <w:rFonts w:ascii="Times New Roman" w:hAnsi="Times New Roman"/>
          <w:color w:val="000000"/>
        </w:rPr>
      </w:pPr>
      <w:r>
        <w:rPr>
          <w:rFonts w:ascii="Times New Roman" w:hAnsi="Times New Roman"/>
          <w:color w:val="000000"/>
        </w:rPr>
        <w:t>1.3.3</w:t>
      </w:r>
      <w:r>
        <w:rPr>
          <w:rFonts w:hint="eastAsia" w:ascii="Times New Roman"/>
          <w:color w:val="000000"/>
        </w:rPr>
        <w:t>本项目质量要求见投标人须知前附表；</w:t>
      </w:r>
    </w:p>
    <w:p w14:paraId="69A85C4F">
      <w:pPr>
        <w:spacing w:line="300" w:lineRule="auto"/>
        <w:ind w:firstLine="420" w:firstLineChars="200"/>
        <w:rPr>
          <w:rFonts w:ascii="Times New Roman" w:hAnsi="Times New Roman"/>
          <w:color w:val="000000"/>
        </w:rPr>
      </w:pPr>
      <w:r>
        <w:rPr>
          <w:rFonts w:ascii="Times New Roman" w:hAnsi="Times New Roman"/>
          <w:color w:val="000000"/>
        </w:rPr>
        <w:t>1.3.4</w:t>
      </w:r>
      <w:r>
        <w:rPr>
          <w:rFonts w:hint="eastAsia" w:ascii="Times New Roman"/>
          <w:color w:val="000000"/>
        </w:rPr>
        <w:t>本项目质保期见投标人须知前附表。</w:t>
      </w:r>
    </w:p>
    <w:p w14:paraId="7AEA381C">
      <w:pPr>
        <w:pStyle w:val="4"/>
        <w:widowControl/>
        <w:spacing w:before="0" w:after="0" w:line="300" w:lineRule="auto"/>
        <w:rPr>
          <w:rFonts w:hint="eastAsia"/>
          <w:bCs w:val="0"/>
          <w:color w:val="000000"/>
        </w:rPr>
      </w:pPr>
      <w:bookmarkStart w:id="15" w:name="_Toc6773"/>
      <w:r>
        <w:rPr>
          <w:bCs w:val="0"/>
          <w:color w:val="000000"/>
        </w:rPr>
        <w:t>1.4</w:t>
      </w:r>
      <w:r>
        <w:rPr>
          <w:rFonts w:hint="eastAsia"/>
          <w:bCs w:val="0"/>
          <w:color w:val="000000"/>
        </w:rPr>
        <w:t>投标人资格要求</w:t>
      </w:r>
      <w:bookmarkEnd w:id="15"/>
    </w:p>
    <w:p w14:paraId="06777C37">
      <w:pPr>
        <w:spacing w:line="300" w:lineRule="auto"/>
        <w:ind w:firstLine="420" w:firstLineChars="200"/>
        <w:rPr>
          <w:rFonts w:ascii="Times New Roman" w:hAnsi="Times New Roman"/>
          <w:color w:val="000000"/>
        </w:rPr>
      </w:pPr>
      <w:r>
        <w:rPr>
          <w:rFonts w:ascii="Times New Roman" w:hAnsi="Times New Roman"/>
          <w:color w:val="000000"/>
        </w:rPr>
        <w:t>1.4.1</w:t>
      </w:r>
      <w:r>
        <w:rPr>
          <w:rFonts w:hint="eastAsia" w:ascii="Times New Roman"/>
          <w:color w:val="000000"/>
        </w:rPr>
        <w:t>投标人应具备承担本工程施工资质条件、能力和信誉，具体见投标人须知前附表。</w:t>
      </w:r>
    </w:p>
    <w:p w14:paraId="30E50F24">
      <w:pPr>
        <w:spacing w:line="300" w:lineRule="auto"/>
        <w:ind w:firstLine="420" w:firstLineChars="200"/>
        <w:rPr>
          <w:rFonts w:ascii="Times New Roman" w:hAnsi="Times New Roman"/>
          <w:color w:val="000000"/>
        </w:rPr>
      </w:pPr>
      <w:r>
        <w:rPr>
          <w:rFonts w:ascii="Times New Roman" w:hAnsi="Times New Roman"/>
          <w:color w:val="000000"/>
        </w:rPr>
        <w:t xml:space="preserve">1.4.3 </w:t>
      </w:r>
      <w:r>
        <w:rPr>
          <w:rFonts w:hint="eastAsia" w:ascii="Times New Roman"/>
          <w:color w:val="000000"/>
        </w:rPr>
        <w:t>投标人不得存在下列情形之一，否则，评标委员会将否决其投标：</w:t>
      </w:r>
    </w:p>
    <w:p w14:paraId="5E82A4A7">
      <w:pPr>
        <w:spacing w:line="300" w:lineRule="auto"/>
        <w:ind w:firstLine="420" w:firstLineChars="200"/>
        <w:rPr>
          <w:rFonts w:ascii="Times New Roman" w:hAnsi="Times New Roman"/>
          <w:color w:val="000000"/>
        </w:rPr>
      </w:pPr>
      <w:r>
        <w:rPr>
          <w:rFonts w:ascii="Times New Roman" w:hAnsi="Times New Roman"/>
          <w:color w:val="000000"/>
        </w:rPr>
        <w:t xml:space="preserve">1.4.3.1 </w:t>
      </w:r>
      <w:r>
        <w:rPr>
          <w:rFonts w:hint="eastAsia" w:ascii="Times New Roman"/>
          <w:color w:val="000000"/>
        </w:rPr>
        <w:t>为招标人不具有独立法人资格的附属机构（单位）；</w:t>
      </w:r>
    </w:p>
    <w:p w14:paraId="54F38CEF">
      <w:pPr>
        <w:spacing w:line="300" w:lineRule="auto"/>
        <w:ind w:firstLine="420" w:firstLineChars="200"/>
        <w:rPr>
          <w:rFonts w:ascii="Times New Roman" w:hAnsi="Times New Roman"/>
          <w:color w:val="000000"/>
        </w:rPr>
      </w:pPr>
      <w:r>
        <w:rPr>
          <w:rFonts w:ascii="Times New Roman" w:hAnsi="Times New Roman"/>
          <w:color w:val="000000"/>
        </w:rPr>
        <w:t xml:space="preserve">1.4.3.2 </w:t>
      </w:r>
      <w:r>
        <w:rPr>
          <w:rFonts w:hint="eastAsia" w:ascii="Times New Roman"/>
          <w:color w:val="000000"/>
        </w:rPr>
        <w:t>为本项目前期提供设计或咨询服务的，但设计施工总承包的除外；</w:t>
      </w:r>
    </w:p>
    <w:p w14:paraId="1E7286BE">
      <w:pPr>
        <w:spacing w:line="300" w:lineRule="auto"/>
        <w:ind w:firstLine="420" w:firstLineChars="200"/>
        <w:rPr>
          <w:rFonts w:ascii="Times New Roman" w:hAnsi="Times New Roman"/>
          <w:color w:val="000000"/>
        </w:rPr>
      </w:pPr>
      <w:r>
        <w:rPr>
          <w:rFonts w:ascii="Times New Roman" w:hAnsi="Times New Roman"/>
          <w:color w:val="000000"/>
        </w:rPr>
        <w:t xml:space="preserve">1.4.3.3 </w:t>
      </w:r>
      <w:r>
        <w:rPr>
          <w:rFonts w:hint="eastAsia" w:ascii="Times New Roman"/>
          <w:color w:val="000000"/>
        </w:rPr>
        <w:t>为本项目的代建人；</w:t>
      </w:r>
    </w:p>
    <w:p w14:paraId="2AA7D94D">
      <w:pPr>
        <w:spacing w:line="300" w:lineRule="auto"/>
        <w:ind w:firstLine="420" w:firstLineChars="200"/>
        <w:rPr>
          <w:rFonts w:ascii="Times New Roman" w:hAnsi="Times New Roman"/>
          <w:color w:val="000000"/>
        </w:rPr>
      </w:pPr>
      <w:r>
        <w:rPr>
          <w:rFonts w:ascii="Times New Roman" w:hAnsi="Times New Roman"/>
          <w:color w:val="000000"/>
        </w:rPr>
        <w:t xml:space="preserve">1.4.3.4 </w:t>
      </w:r>
      <w:r>
        <w:rPr>
          <w:rFonts w:hint="eastAsia" w:ascii="Times New Roman"/>
          <w:color w:val="000000"/>
        </w:rPr>
        <w:t>为本项目提供招标代理服务的；</w:t>
      </w:r>
    </w:p>
    <w:p w14:paraId="0448343F">
      <w:pPr>
        <w:spacing w:line="300" w:lineRule="auto"/>
        <w:ind w:firstLine="420" w:firstLineChars="200"/>
        <w:rPr>
          <w:rFonts w:ascii="Times New Roman" w:hAnsi="Times New Roman"/>
          <w:color w:val="000000"/>
        </w:rPr>
      </w:pPr>
      <w:r>
        <w:rPr>
          <w:rFonts w:ascii="Times New Roman" w:hAnsi="Times New Roman"/>
          <w:color w:val="000000"/>
        </w:rPr>
        <w:t xml:space="preserve">1.4.3.5 </w:t>
      </w:r>
      <w:r>
        <w:rPr>
          <w:rFonts w:hint="eastAsia" w:ascii="Times New Roman"/>
          <w:color w:val="000000"/>
        </w:rPr>
        <w:t>与本项目的代建人或招标代理机构为同一法定代表人的；</w:t>
      </w:r>
    </w:p>
    <w:p w14:paraId="6108FD1F">
      <w:pPr>
        <w:spacing w:line="300" w:lineRule="auto"/>
        <w:ind w:firstLine="420" w:firstLineChars="200"/>
        <w:rPr>
          <w:rFonts w:ascii="Times New Roman" w:hAnsi="Times New Roman"/>
          <w:color w:val="000000"/>
        </w:rPr>
      </w:pPr>
      <w:r>
        <w:rPr>
          <w:rFonts w:ascii="Times New Roman" w:hAnsi="Times New Roman"/>
          <w:color w:val="000000"/>
        </w:rPr>
        <w:t xml:space="preserve">1.4.3.6 </w:t>
      </w:r>
      <w:r>
        <w:rPr>
          <w:rFonts w:hint="eastAsia" w:ascii="Times New Roman"/>
          <w:color w:val="000000"/>
        </w:rPr>
        <w:t>与本项目的代建人或招标代理机构相互控股或参股的；</w:t>
      </w:r>
    </w:p>
    <w:p w14:paraId="30E37CDB">
      <w:pPr>
        <w:spacing w:line="300" w:lineRule="auto"/>
        <w:ind w:firstLine="420" w:firstLineChars="200"/>
        <w:rPr>
          <w:rFonts w:ascii="Times New Roman" w:hAnsi="Times New Roman"/>
          <w:color w:val="000000"/>
        </w:rPr>
      </w:pPr>
      <w:r>
        <w:rPr>
          <w:rFonts w:ascii="Times New Roman" w:hAnsi="Times New Roman"/>
          <w:color w:val="000000"/>
        </w:rPr>
        <w:t xml:space="preserve">1.4.3.7 </w:t>
      </w:r>
      <w:r>
        <w:rPr>
          <w:rFonts w:hint="eastAsia" w:ascii="Times New Roman"/>
          <w:color w:val="000000"/>
        </w:rPr>
        <w:t>与本项目的代建人或招标代理机构相互任职或工作的；</w:t>
      </w:r>
    </w:p>
    <w:p w14:paraId="2239BB4C">
      <w:pPr>
        <w:spacing w:line="300" w:lineRule="auto"/>
        <w:ind w:firstLine="420" w:firstLineChars="200"/>
        <w:rPr>
          <w:rFonts w:ascii="Times New Roman" w:hAnsi="Times New Roman"/>
          <w:color w:val="000000"/>
        </w:rPr>
      </w:pPr>
      <w:r>
        <w:rPr>
          <w:rFonts w:ascii="Times New Roman" w:hAnsi="Times New Roman"/>
          <w:color w:val="000000"/>
        </w:rPr>
        <w:t xml:space="preserve">1.4.3.8 </w:t>
      </w:r>
      <w:r>
        <w:rPr>
          <w:rFonts w:hint="eastAsia" w:ascii="Times New Roman"/>
          <w:color w:val="000000"/>
        </w:rPr>
        <w:t>被责令停业的；</w:t>
      </w:r>
      <w:r>
        <w:rPr>
          <w:rFonts w:ascii="Times New Roman" w:hAnsi="Times New Roman"/>
          <w:color w:val="000000"/>
        </w:rPr>
        <w:t xml:space="preserve"> </w:t>
      </w:r>
    </w:p>
    <w:p w14:paraId="1BD30F01">
      <w:pPr>
        <w:spacing w:line="300" w:lineRule="auto"/>
        <w:ind w:firstLine="420" w:firstLineChars="200"/>
        <w:rPr>
          <w:rFonts w:ascii="Times New Roman" w:hAnsi="Times New Roman"/>
          <w:color w:val="000000"/>
        </w:rPr>
      </w:pPr>
      <w:r>
        <w:rPr>
          <w:rFonts w:ascii="Times New Roman" w:hAnsi="Times New Roman"/>
          <w:color w:val="000000"/>
        </w:rPr>
        <w:t xml:space="preserve">1.4.3.9 </w:t>
      </w:r>
      <w:r>
        <w:rPr>
          <w:rFonts w:hint="eastAsia" w:ascii="Times New Roman"/>
          <w:color w:val="000000"/>
        </w:rPr>
        <w:t>被暂停或取消投标资格的；</w:t>
      </w:r>
      <w:r>
        <w:rPr>
          <w:rFonts w:ascii="Times New Roman" w:hAnsi="Times New Roman"/>
          <w:color w:val="000000"/>
        </w:rPr>
        <w:t xml:space="preserve"> </w:t>
      </w:r>
    </w:p>
    <w:p w14:paraId="0AF35C47">
      <w:pPr>
        <w:spacing w:line="300" w:lineRule="auto"/>
        <w:ind w:firstLine="420" w:firstLineChars="200"/>
        <w:rPr>
          <w:rFonts w:ascii="Times New Roman" w:hAnsi="Times New Roman"/>
          <w:color w:val="000000"/>
        </w:rPr>
      </w:pPr>
      <w:r>
        <w:rPr>
          <w:rFonts w:ascii="Times New Roman" w:hAnsi="Times New Roman"/>
          <w:color w:val="000000"/>
        </w:rPr>
        <w:t xml:space="preserve">1.4.3.10 </w:t>
      </w:r>
      <w:r>
        <w:rPr>
          <w:rFonts w:hint="eastAsia" w:ascii="Times New Roman"/>
          <w:color w:val="000000"/>
        </w:rPr>
        <w:t>财产被接管或冻结的；</w:t>
      </w:r>
    </w:p>
    <w:p w14:paraId="3527CB23">
      <w:pPr>
        <w:spacing w:line="300" w:lineRule="auto"/>
        <w:ind w:firstLine="420" w:firstLineChars="200"/>
        <w:rPr>
          <w:rFonts w:ascii="Times New Roman" w:hAnsi="Times New Roman"/>
          <w:color w:val="000000"/>
        </w:rPr>
      </w:pPr>
      <w:r>
        <w:rPr>
          <w:rFonts w:ascii="Times New Roman" w:hAnsi="Times New Roman"/>
          <w:color w:val="000000"/>
        </w:rPr>
        <w:t xml:space="preserve">1.4.3.11 </w:t>
      </w:r>
      <w:r>
        <w:rPr>
          <w:rFonts w:hint="eastAsia" w:ascii="Times New Roman"/>
          <w:color w:val="000000"/>
        </w:rPr>
        <w:t>在最近三年内有骗取中标或严重违约或重大工程质量问题的。</w:t>
      </w:r>
    </w:p>
    <w:p w14:paraId="52A8D229">
      <w:pPr>
        <w:pStyle w:val="4"/>
        <w:widowControl/>
        <w:spacing w:before="0" w:after="0" w:line="300" w:lineRule="auto"/>
        <w:rPr>
          <w:rFonts w:hint="eastAsia"/>
          <w:bCs w:val="0"/>
          <w:color w:val="000000"/>
        </w:rPr>
      </w:pPr>
      <w:bookmarkStart w:id="16" w:name="_Toc23914"/>
      <w:r>
        <w:rPr>
          <w:bCs w:val="0"/>
          <w:color w:val="000000"/>
        </w:rPr>
        <w:t xml:space="preserve">1.5 </w:t>
      </w:r>
      <w:r>
        <w:rPr>
          <w:rFonts w:hint="eastAsia"/>
          <w:bCs w:val="0"/>
          <w:color w:val="000000"/>
        </w:rPr>
        <w:t>费用承担</w:t>
      </w:r>
      <w:bookmarkEnd w:id="16"/>
    </w:p>
    <w:p w14:paraId="31933D92">
      <w:pPr>
        <w:spacing w:line="300" w:lineRule="auto"/>
        <w:ind w:firstLine="420" w:firstLineChars="200"/>
        <w:rPr>
          <w:rFonts w:ascii="Times New Roman" w:hAnsi="Times New Roman"/>
          <w:color w:val="000000"/>
        </w:rPr>
      </w:pPr>
      <w:r>
        <w:rPr>
          <w:rFonts w:ascii="Times New Roman" w:hAnsi="Times New Roman"/>
          <w:color w:val="000000"/>
        </w:rPr>
        <w:t>1.5.1</w:t>
      </w:r>
      <w:r>
        <w:rPr>
          <w:rFonts w:hint="eastAsia" w:ascii="Times New Roman"/>
          <w:color w:val="000000"/>
        </w:rPr>
        <w:t>投标人准备和参加投标活动发生的一切费用自理。</w:t>
      </w:r>
    </w:p>
    <w:p w14:paraId="78ADD93C">
      <w:pPr>
        <w:pStyle w:val="4"/>
        <w:widowControl/>
        <w:spacing w:before="0" w:after="0" w:line="300" w:lineRule="auto"/>
        <w:rPr>
          <w:rFonts w:hint="eastAsia"/>
          <w:bCs w:val="0"/>
          <w:color w:val="000000"/>
        </w:rPr>
      </w:pPr>
      <w:bookmarkStart w:id="17" w:name="_Toc16241"/>
      <w:r>
        <w:rPr>
          <w:bCs w:val="0"/>
          <w:color w:val="000000"/>
        </w:rPr>
        <w:t xml:space="preserve">1.6 </w:t>
      </w:r>
      <w:r>
        <w:rPr>
          <w:rFonts w:hint="eastAsia"/>
          <w:bCs w:val="0"/>
          <w:color w:val="000000"/>
        </w:rPr>
        <w:t>保密</w:t>
      </w:r>
      <w:bookmarkEnd w:id="17"/>
    </w:p>
    <w:p w14:paraId="4073D2C6">
      <w:pPr>
        <w:spacing w:line="300" w:lineRule="auto"/>
        <w:ind w:firstLine="420" w:firstLineChars="200"/>
        <w:rPr>
          <w:rFonts w:ascii="Times New Roman" w:hAnsi="Times New Roman"/>
          <w:color w:val="000000"/>
        </w:rPr>
      </w:pPr>
      <w:r>
        <w:rPr>
          <w:rFonts w:ascii="Times New Roman" w:hAnsi="Times New Roman"/>
          <w:color w:val="000000"/>
        </w:rPr>
        <w:t>1.6.1</w:t>
      </w:r>
      <w:r>
        <w:rPr>
          <w:rFonts w:hint="eastAsia" w:ascii="Times New Roman"/>
          <w:color w:val="000000"/>
        </w:rPr>
        <w:t>参与招标投标活动的各方应对招标文件和投标文件中的商业和技术等秘密保密，违者应对由此造成的后果承担法律责任。</w:t>
      </w:r>
    </w:p>
    <w:p w14:paraId="3669D910">
      <w:pPr>
        <w:pStyle w:val="4"/>
        <w:widowControl/>
        <w:spacing w:before="0" w:after="0" w:line="300" w:lineRule="auto"/>
        <w:rPr>
          <w:rFonts w:hint="eastAsia"/>
          <w:bCs w:val="0"/>
          <w:color w:val="000000"/>
        </w:rPr>
      </w:pPr>
      <w:bookmarkStart w:id="18" w:name="_Toc1755"/>
      <w:r>
        <w:rPr>
          <w:bCs w:val="0"/>
          <w:color w:val="000000"/>
        </w:rPr>
        <w:t xml:space="preserve">1.7 </w:t>
      </w:r>
      <w:r>
        <w:rPr>
          <w:rFonts w:hint="eastAsia"/>
          <w:bCs w:val="0"/>
          <w:color w:val="000000"/>
        </w:rPr>
        <w:t>语言文字</w:t>
      </w:r>
      <w:bookmarkEnd w:id="18"/>
    </w:p>
    <w:p w14:paraId="15B8FA34">
      <w:pPr>
        <w:spacing w:line="300" w:lineRule="auto"/>
        <w:ind w:firstLine="420" w:firstLineChars="200"/>
        <w:rPr>
          <w:rFonts w:ascii="Times New Roman" w:hAnsi="Times New Roman"/>
          <w:color w:val="000000"/>
        </w:rPr>
      </w:pPr>
      <w:r>
        <w:rPr>
          <w:rFonts w:ascii="Times New Roman" w:hAnsi="Times New Roman"/>
          <w:color w:val="000000"/>
        </w:rPr>
        <w:t>1.7.1</w:t>
      </w:r>
      <w:r>
        <w:rPr>
          <w:rFonts w:hint="eastAsia" w:ascii="Times New Roman"/>
          <w:color w:val="000000"/>
        </w:rPr>
        <w:t>除专用术语外，与招标投标有关的语言均使用简体中文。必要时专用术语应附有简体中文注释。</w:t>
      </w:r>
    </w:p>
    <w:p w14:paraId="746369FD">
      <w:pPr>
        <w:pStyle w:val="4"/>
        <w:widowControl/>
        <w:spacing w:before="0" w:after="0" w:line="300" w:lineRule="auto"/>
        <w:rPr>
          <w:rFonts w:hint="eastAsia"/>
          <w:bCs w:val="0"/>
          <w:color w:val="000000"/>
        </w:rPr>
      </w:pPr>
      <w:bookmarkStart w:id="19" w:name="_Toc23952"/>
      <w:r>
        <w:rPr>
          <w:bCs w:val="0"/>
          <w:color w:val="000000"/>
        </w:rPr>
        <w:t>1.8</w:t>
      </w:r>
      <w:r>
        <w:rPr>
          <w:rFonts w:hint="eastAsia"/>
          <w:bCs w:val="0"/>
          <w:color w:val="000000"/>
        </w:rPr>
        <w:t>计量单位</w:t>
      </w:r>
      <w:bookmarkEnd w:id="19"/>
    </w:p>
    <w:p w14:paraId="24E60B98">
      <w:pPr>
        <w:spacing w:line="300" w:lineRule="auto"/>
        <w:ind w:firstLine="420" w:firstLineChars="200"/>
        <w:rPr>
          <w:rFonts w:ascii="Times New Roman" w:hAnsi="Times New Roman"/>
          <w:color w:val="000000"/>
        </w:rPr>
      </w:pPr>
      <w:r>
        <w:rPr>
          <w:rFonts w:ascii="Times New Roman" w:hAnsi="Times New Roman"/>
          <w:color w:val="000000"/>
        </w:rPr>
        <w:t>1.8.1</w:t>
      </w:r>
      <w:r>
        <w:rPr>
          <w:rFonts w:hint="eastAsia" w:ascii="Times New Roman"/>
          <w:color w:val="000000"/>
        </w:rPr>
        <w:t>所有计量均采用中华人民共和国法定计量单位。</w:t>
      </w:r>
    </w:p>
    <w:p w14:paraId="28578349">
      <w:pPr>
        <w:pStyle w:val="4"/>
        <w:widowControl/>
        <w:spacing w:before="0" w:after="0" w:line="300" w:lineRule="auto"/>
        <w:rPr>
          <w:rFonts w:hint="eastAsia"/>
          <w:bCs w:val="0"/>
          <w:color w:val="000000"/>
        </w:rPr>
      </w:pPr>
      <w:bookmarkStart w:id="20" w:name="_Toc12869"/>
      <w:r>
        <w:rPr>
          <w:bCs w:val="0"/>
          <w:color w:val="000000"/>
        </w:rPr>
        <w:t xml:space="preserve">1.9 </w:t>
      </w:r>
      <w:r>
        <w:rPr>
          <w:rFonts w:hint="eastAsia"/>
          <w:bCs w:val="0"/>
          <w:color w:val="000000"/>
        </w:rPr>
        <w:t>踏勘现场</w:t>
      </w:r>
      <w:bookmarkEnd w:id="20"/>
    </w:p>
    <w:p w14:paraId="405462C8">
      <w:pPr>
        <w:spacing w:line="300" w:lineRule="auto"/>
        <w:ind w:firstLine="420" w:firstLineChars="200"/>
        <w:rPr>
          <w:rFonts w:ascii="Times New Roman" w:hAnsi="Times New Roman"/>
          <w:color w:val="000000"/>
        </w:rPr>
      </w:pPr>
      <w:r>
        <w:rPr>
          <w:rFonts w:ascii="Times New Roman" w:hAnsi="Times New Roman"/>
          <w:color w:val="000000"/>
        </w:rPr>
        <w:t>1.9.1</w:t>
      </w:r>
      <w:r>
        <w:rPr>
          <w:rFonts w:hint="eastAsia" w:ascii="Times New Roman" w:hAnsi="Times New Roman"/>
          <w:color w:val="000000"/>
        </w:rPr>
        <w:t>不</w:t>
      </w:r>
      <w:r>
        <w:rPr>
          <w:rFonts w:hint="eastAsia" w:ascii="Times New Roman"/>
          <w:color w:val="000000"/>
        </w:rPr>
        <w:t>统一组织踏勘现场。</w:t>
      </w:r>
    </w:p>
    <w:p w14:paraId="005E75A4">
      <w:pPr>
        <w:pStyle w:val="4"/>
        <w:widowControl/>
        <w:spacing w:before="0" w:after="0" w:line="300" w:lineRule="auto"/>
        <w:rPr>
          <w:rFonts w:hint="eastAsia"/>
          <w:bCs w:val="0"/>
          <w:color w:val="000000"/>
        </w:rPr>
      </w:pPr>
      <w:bookmarkStart w:id="21" w:name="_Toc19099"/>
      <w:r>
        <w:rPr>
          <w:bCs w:val="0"/>
          <w:color w:val="000000"/>
        </w:rPr>
        <w:t xml:space="preserve">1.10 </w:t>
      </w:r>
      <w:r>
        <w:rPr>
          <w:rFonts w:hint="eastAsia"/>
          <w:bCs w:val="0"/>
          <w:color w:val="000000"/>
        </w:rPr>
        <w:t>投标预备会</w:t>
      </w:r>
      <w:bookmarkEnd w:id="21"/>
    </w:p>
    <w:p w14:paraId="42D3C608">
      <w:pPr>
        <w:spacing w:line="300" w:lineRule="auto"/>
        <w:ind w:firstLine="420" w:firstLineChars="200"/>
        <w:rPr>
          <w:rFonts w:ascii="Times New Roman" w:hAnsi="Times New Roman"/>
          <w:color w:val="000000"/>
        </w:rPr>
      </w:pPr>
      <w:r>
        <w:rPr>
          <w:rFonts w:hint="eastAsia" w:ascii="Times New Roman"/>
          <w:color w:val="000000"/>
        </w:rPr>
        <w:t>不召开。</w:t>
      </w:r>
    </w:p>
    <w:p w14:paraId="5160F640">
      <w:pPr>
        <w:pStyle w:val="4"/>
        <w:widowControl/>
        <w:spacing w:before="0" w:after="0" w:line="300" w:lineRule="auto"/>
        <w:rPr>
          <w:rFonts w:hint="eastAsia"/>
          <w:bCs w:val="0"/>
          <w:color w:val="000000"/>
        </w:rPr>
      </w:pPr>
      <w:bookmarkStart w:id="22" w:name="_Toc7016"/>
      <w:r>
        <w:rPr>
          <w:bCs w:val="0"/>
          <w:color w:val="000000"/>
        </w:rPr>
        <w:t xml:space="preserve">1.11 </w:t>
      </w:r>
      <w:r>
        <w:rPr>
          <w:rFonts w:hint="eastAsia"/>
          <w:bCs w:val="0"/>
          <w:color w:val="000000"/>
        </w:rPr>
        <w:t>分包</w:t>
      </w:r>
      <w:bookmarkEnd w:id="22"/>
    </w:p>
    <w:p w14:paraId="0FD3D935">
      <w:pPr>
        <w:spacing w:line="300" w:lineRule="auto"/>
        <w:ind w:firstLine="420" w:firstLineChars="200"/>
        <w:rPr>
          <w:rFonts w:ascii="Times New Roman" w:hAnsi="Times New Roman"/>
          <w:color w:val="000000"/>
        </w:rPr>
      </w:pPr>
      <w:r>
        <w:rPr>
          <w:rFonts w:hint="eastAsia" w:ascii="Times New Roman"/>
          <w:color w:val="000000"/>
        </w:rPr>
        <w:t>不允许违法分包。</w:t>
      </w:r>
    </w:p>
    <w:p w14:paraId="4D408591">
      <w:pPr>
        <w:pStyle w:val="4"/>
        <w:widowControl/>
        <w:spacing w:before="0" w:after="0" w:line="300" w:lineRule="auto"/>
        <w:rPr>
          <w:rFonts w:hint="eastAsia"/>
          <w:bCs w:val="0"/>
          <w:color w:val="000000"/>
        </w:rPr>
      </w:pPr>
      <w:bookmarkStart w:id="23" w:name="_Toc1027"/>
      <w:r>
        <w:rPr>
          <w:bCs w:val="0"/>
          <w:color w:val="000000"/>
        </w:rPr>
        <w:t xml:space="preserve">1.12 </w:t>
      </w:r>
      <w:r>
        <w:rPr>
          <w:rFonts w:hint="eastAsia"/>
          <w:bCs w:val="0"/>
          <w:color w:val="000000"/>
        </w:rPr>
        <w:t>偏离</w:t>
      </w:r>
      <w:bookmarkEnd w:id="23"/>
    </w:p>
    <w:p w14:paraId="3F50F82C">
      <w:pPr>
        <w:spacing w:line="300" w:lineRule="auto"/>
        <w:ind w:firstLine="420" w:firstLineChars="200"/>
        <w:rPr>
          <w:rFonts w:ascii="Times New Roman" w:hAnsi="Times New Roman"/>
          <w:color w:val="000000"/>
        </w:rPr>
      </w:pPr>
      <w:r>
        <w:rPr>
          <w:rFonts w:hint="eastAsia" w:ascii="Times New Roman"/>
          <w:color w:val="000000"/>
        </w:rPr>
        <w:t>不允许。</w:t>
      </w:r>
    </w:p>
    <w:p w14:paraId="204D8A6D">
      <w:pPr>
        <w:pStyle w:val="161"/>
        <w:widowControl/>
        <w:spacing w:before="0" w:line="300" w:lineRule="auto"/>
        <w:rPr>
          <w:color w:val="000000"/>
          <w:sz w:val="30"/>
          <w:szCs w:val="30"/>
        </w:rPr>
      </w:pPr>
      <w:bookmarkStart w:id="24" w:name="_Toc32733"/>
      <w:r>
        <w:rPr>
          <w:color w:val="000000"/>
          <w:sz w:val="30"/>
          <w:szCs w:val="30"/>
        </w:rPr>
        <w:t xml:space="preserve">2. </w:t>
      </w:r>
      <w:r>
        <w:rPr>
          <w:rFonts w:hint="eastAsia"/>
          <w:color w:val="000000"/>
          <w:sz w:val="30"/>
          <w:szCs w:val="30"/>
        </w:rPr>
        <w:t>招标文件</w:t>
      </w:r>
      <w:bookmarkEnd w:id="24"/>
    </w:p>
    <w:p w14:paraId="59C4344A">
      <w:pPr>
        <w:pStyle w:val="4"/>
        <w:widowControl/>
        <w:spacing w:before="0" w:after="0" w:line="300" w:lineRule="auto"/>
        <w:rPr>
          <w:rFonts w:hint="eastAsia"/>
          <w:bCs w:val="0"/>
          <w:color w:val="000000"/>
        </w:rPr>
      </w:pPr>
      <w:bookmarkStart w:id="25" w:name="_Toc22335"/>
      <w:r>
        <w:rPr>
          <w:bCs w:val="0"/>
          <w:color w:val="000000"/>
        </w:rPr>
        <w:t xml:space="preserve">2.1 </w:t>
      </w:r>
      <w:r>
        <w:rPr>
          <w:rFonts w:hint="eastAsia"/>
          <w:bCs w:val="0"/>
          <w:color w:val="000000"/>
        </w:rPr>
        <w:t>招标文件的组成</w:t>
      </w:r>
      <w:bookmarkEnd w:id="25"/>
    </w:p>
    <w:p w14:paraId="5716D9AB">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hint="eastAsia" w:ascii="Times New Roman"/>
          <w:color w:val="000000"/>
          <w:shd w:val="clear" w:color="auto" w:fill="FFFFFF"/>
        </w:rPr>
        <w:t>本次招标项目的招标文件包含以下部分：</w:t>
      </w:r>
    </w:p>
    <w:p w14:paraId="22A94658">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1</w:t>
      </w:r>
      <w:r>
        <w:rPr>
          <w:rFonts w:hint="eastAsia" w:ascii="Times New Roman"/>
          <w:color w:val="000000"/>
        </w:rPr>
        <w:t>）招标公告；</w:t>
      </w:r>
    </w:p>
    <w:p w14:paraId="52FC73E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2</w:t>
      </w:r>
      <w:r>
        <w:rPr>
          <w:rFonts w:hint="eastAsia" w:ascii="Times New Roman"/>
          <w:color w:val="000000"/>
        </w:rPr>
        <w:t>）投标人须知；</w:t>
      </w:r>
    </w:p>
    <w:p w14:paraId="39F7989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3</w:t>
      </w:r>
      <w:r>
        <w:rPr>
          <w:rFonts w:hint="eastAsia" w:ascii="Times New Roman"/>
          <w:color w:val="000000"/>
        </w:rPr>
        <w:t>）评标办法；</w:t>
      </w:r>
    </w:p>
    <w:p w14:paraId="6AA5EF16">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4</w:t>
      </w:r>
      <w:r>
        <w:rPr>
          <w:rFonts w:hint="eastAsia" w:ascii="Times New Roman"/>
          <w:color w:val="000000"/>
        </w:rPr>
        <w:t>）合同条款及格式；</w:t>
      </w:r>
    </w:p>
    <w:p w14:paraId="7AD2001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5</w:t>
      </w:r>
      <w:r>
        <w:rPr>
          <w:rFonts w:hint="eastAsia" w:ascii="Times New Roman"/>
          <w:color w:val="000000"/>
        </w:rPr>
        <w:t>）技术标准和要求</w:t>
      </w:r>
    </w:p>
    <w:p w14:paraId="655AA881">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6</w:t>
      </w:r>
      <w:r>
        <w:rPr>
          <w:rFonts w:hint="eastAsia" w:ascii="Times New Roman"/>
          <w:color w:val="000000"/>
        </w:rPr>
        <w:t>）投标文件格式</w:t>
      </w:r>
    </w:p>
    <w:p w14:paraId="61FF4C94">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7</w:t>
      </w:r>
      <w:r>
        <w:rPr>
          <w:rFonts w:hint="eastAsia" w:ascii="Times New Roman"/>
          <w:color w:val="000000"/>
        </w:rPr>
        <w:t>）投标人须知前附表规定的其他材料。</w:t>
      </w:r>
    </w:p>
    <w:p w14:paraId="1A29C34D">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hint="eastAsia" w:ascii="Times New Roman"/>
          <w:color w:val="000000"/>
          <w:shd w:val="clear" w:color="auto" w:fill="FFFFFF"/>
        </w:rPr>
        <w:t>本招标文件第四章</w:t>
      </w:r>
      <w:r>
        <w:rPr>
          <w:rFonts w:ascii="Times New Roman" w:hAnsi="Times New Roman"/>
          <w:color w:val="000000"/>
          <w:shd w:val="clear" w:color="auto" w:fill="FFFFFF"/>
        </w:rPr>
        <w:t>“</w:t>
      </w:r>
      <w:r>
        <w:rPr>
          <w:rFonts w:hint="eastAsia" w:ascii="Times New Roman"/>
          <w:color w:val="000000"/>
          <w:shd w:val="clear" w:color="auto" w:fill="FFFFFF"/>
        </w:rPr>
        <w:t>合同条款及格式</w:t>
      </w:r>
      <w:r>
        <w:rPr>
          <w:rFonts w:ascii="Times New Roman" w:hAnsi="Times New Roman"/>
          <w:color w:val="000000"/>
          <w:shd w:val="clear" w:color="auto" w:fill="FFFFFF"/>
        </w:rPr>
        <w:t>”</w:t>
      </w:r>
      <w:r>
        <w:rPr>
          <w:rFonts w:hint="eastAsia" w:ascii="Times New Roman"/>
          <w:color w:val="000000"/>
          <w:shd w:val="clear" w:color="auto" w:fill="FFFFFF"/>
        </w:rPr>
        <w:t>是招标文件的重要组成部分，投标人必须仔细阅读并充分理解。投标人一旦中标，必须按照本招标文件第四章</w:t>
      </w:r>
      <w:r>
        <w:rPr>
          <w:rFonts w:ascii="Times New Roman" w:hAnsi="Times New Roman"/>
          <w:color w:val="000000"/>
          <w:shd w:val="clear" w:color="auto" w:fill="FFFFFF"/>
        </w:rPr>
        <w:t>“</w:t>
      </w:r>
      <w:r>
        <w:rPr>
          <w:rFonts w:hint="eastAsia" w:ascii="Times New Roman"/>
          <w:color w:val="000000"/>
          <w:shd w:val="clear" w:color="auto" w:fill="FFFFFF"/>
        </w:rPr>
        <w:t>合同条款及格式</w:t>
      </w:r>
      <w:r>
        <w:rPr>
          <w:rFonts w:ascii="Times New Roman" w:hAnsi="Times New Roman"/>
          <w:color w:val="000000"/>
          <w:shd w:val="clear" w:color="auto" w:fill="FFFFFF"/>
        </w:rPr>
        <w:t>”</w:t>
      </w:r>
      <w:r>
        <w:rPr>
          <w:rFonts w:hint="eastAsia" w:ascii="Times New Roman"/>
          <w:color w:val="000000"/>
          <w:shd w:val="clear" w:color="auto" w:fill="FFFFFF"/>
        </w:rPr>
        <w:t>已约定的内容和格式与招标人签订合同。</w:t>
      </w:r>
    </w:p>
    <w:p w14:paraId="4F362C46">
      <w:pPr>
        <w:pStyle w:val="4"/>
        <w:widowControl/>
        <w:spacing w:before="0" w:after="0" w:line="300" w:lineRule="auto"/>
        <w:rPr>
          <w:rFonts w:hint="eastAsia"/>
          <w:bCs w:val="0"/>
          <w:color w:val="000000"/>
        </w:rPr>
      </w:pPr>
      <w:bookmarkStart w:id="26" w:name="_Toc27766"/>
      <w:r>
        <w:rPr>
          <w:bCs w:val="0"/>
          <w:color w:val="000000"/>
        </w:rPr>
        <w:t xml:space="preserve">2.2 </w:t>
      </w:r>
      <w:r>
        <w:rPr>
          <w:rFonts w:hint="eastAsia"/>
          <w:bCs w:val="0"/>
          <w:color w:val="000000"/>
        </w:rPr>
        <w:t>招标文件的澄清</w:t>
      </w:r>
      <w:bookmarkEnd w:id="26"/>
    </w:p>
    <w:p w14:paraId="6C4D6852">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ascii="Times New Roman" w:hAnsi="Times New Roman"/>
          <w:color w:val="000000"/>
          <w:shd w:val="clear" w:color="auto" w:fill="FFFFFF"/>
        </w:rPr>
        <w:t>2.2.1</w:t>
      </w:r>
      <w:r>
        <w:rPr>
          <w:rFonts w:hint="eastAsia" w:ascii="Times New Roman"/>
          <w:color w:val="000000"/>
          <w:shd w:val="clear" w:color="auto" w:fill="FFFFFF"/>
        </w:rPr>
        <w:t>投标人应仔细阅读和检查招标文件的全部内容。如发现缺页或附件不全，应及时向招标人提出，以便补齐。投标人若对招标文件有疑问的，应按照投标人须知前附表</w:t>
      </w:r>
      <w:r>
        <w:rPr>
          <w:rFonts w:ascii="Times New Roman" w:hAnsi="Times New Roman"/>
          <w:color w:val="000000"/>
          <w:shd w:val="clear" w:color="auto" w:fill="FFFFFF"/>
        </w:rPr>
        <w:t>“</w:t>
      </w:r>
      <w:r>
        <w:rPr>
          <w:rFonts w:hint="eastAsia" w:ascii="Times New Roman"/>
          <w:color w:val="000000"/>
          <w:shd w:val="clear" w:color="auto" w:fill="FFFFFF"/>
        </w:rPr>
        <w:t>投标人提出疑问的时间及方式</w:t>
      </w:r>
      <w:r>
        <w:rPr>
          <w:rFonts w:ascii="Times New Roman" w:hAnsi="Times New Roman"/>
          <w:color w:val="000000"/>
          <w:shd w:val="clear" w:color="auto" w:fill="FFFFFF"/>
        </w:rPr>
        <w:t>”</w:t>
      </w:r>
      <w:r>
        <w:rPr>
          <w:rFonts w:hint="eastAsia" w:ascii="Times New Roman"/>
          <w:color w:val="000000"/>
          <w:shd w:val="clear" w:color="auto" w:fill="FFFFFF"/>
        </w:rPr>
        <w:t>条款的规定提出问题。</w:t>
      </w:r>
    </w:p>
    <w:p w14:paraId="70A80B65">
      <w:pPr>
        <w:pStyle w:val="161"/>
        <w:widowControl/>
        <w:spacing w:before="0" w:line="300" w:lineRule="auto"/>
        <w:rPr>
          <w:color w:val="000000"/>
          <w:sz w:val="30"/>
          <w:szCs w:val="30"/>
        </w:rPr>
      </w:pPr>
      <w:bookmarkStart w:id="27" w:name="_Toc9772"/>
      <w:r>
        <w:rPr>
          <w:color w:val="000000"/>
          <w:sz w:val="30"/>
          <w:szCs w:val="30"/>
        </w:rPr>
        <w:t xml:space="preserve">3. </w:t>
      </w:r>
      <w:r>
        <w:rPr>
          <w:rFonts w:hint="eastAsia"/>
          <w:color w:val="000000"/>
          <w:sz w:val="30"/>
          <w:szCs w:val="30"/>
        </w:rPr>
        <w:t>投标文件</w:t>
      </w:r>
      <w:bookmarkEnd w:id="27"/>
    </w:p>
    <w:p w14:paraId="79CA1A66">
      <w:pPr>
        <w:pStyle w:val="4"/>
        <w:widowControl/>
        <w:spacing w:before="0" w:after="0" w:line="300" w:lineRule="auto"/>
        <w:rPr>
          <w:rFonts w:hint="eastAsia"/>
          <w:bCs w:val="0"/>
          <w:color w:val="000000"/>
        </w:rPr>
      </w:pPr>
      <w:bookmarkStart w:id="28" w:name="_Toc27304"/>
      <w:r>
        <w:rPr>
          <w:bCs w:val="0"/>
          <w:color w:val="000000"/>
        </w:rPr>
        <w:t xml:space="preserve">3.1 </w:t>
      </w:r>
      <w:r>
        <w:rPr>
          <w:rFonts w:hint="eastAsia"/>
          <w:bCs w:val="0"/>
          <w:color w:val="000000"/>
        </w:rPr>
        <w:t>投标文件的组成</w:t>
      </w:r>
      <w:bookmarkEnd w:id="28"/>
    </w:p>
    <w:p w14:paraId="5963ACDF">
      <w:pPr>
        <w:shd w:val="clear" w:color="auto" w:fill="FFFFFF"/>
        <w:autoSpaceDE w:val="0"/>
        <w:autoSpaceDN w:val="0"/>
        <w:adjustRightInd w:val="0"/>
        <w:spacing w:line="300" w:lineRule="auto"/>
        <w:ind w:firstLine="420" w:firstLineChars="200"/>
        <w:rPr>
          <w:rFonts w:ascii="Times New Roman" w:hAnsi="Times New Roman"/>
          <w:color w:val="000000"/>
        </w:rPr>
      </w:pPr>
      <w:r>
        <w:rPr>
          <w:rFonts w:ascii="Times New Roman" w:hAnsi="Times New Roman"/>
          <w:color w:val="000000"/>
        </w:rPr>
        <w:t xml:space="preserve">3.1.1 </w:t>
      </w:r>
      <w:r>
        <w:rPr>
          <w:rFonts w:hint="eastAsia" w:ascii="Times New Roman"/>
          <w:color w:val="000000"/>
        </w:rPr>
        <w:t>投标文件包括下列内容：</w:t>
      </w:r>
    </w:p>
    <w:p w14:paraId="5FEBBD8D">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1</w:t>
      </w:r>
      <w:r>
        <w:rPr>
          <w:rFonts w:hint="eastAsia" w:ascii="Times New Roman"/>
          <w:color w:val="000000"/>
        </w:rPr>
        <w:t>）投标函；</w:t>
      </w:r>
    </w:p>
    <w:p w14:paraId="71D3C28E">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2</w:t>
      </w:r>
      <w:r>
        <w:rPr>
          <w:rFonts w:hint="eastAsia" w:ascii="Times New Roman"/>
          <w:color w:val="000000"/>
        </w:rPr>
        <w:t>）法定代表人身份证明或附有法定代表人身份证明的授权委托书；</w:t>
      </w:r>
    </w:p>
    <w:p w14:paraId="63DBB6D9">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3</w:t>
      </w:r>
      <w:r>
        <w:rPr>
          <w:rFonts w:hint="eastAsia" w:ascii="Times New Roman"/>
          <w:color w:val="000000"/>
        </w:rPr>
        <w:t>）开标一览表；</w:t>
      </w:r>
    </w:p>
    <w:p w14:paraId="7F028702">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4</w:t>
      </w:r>
      <w:r>
        <w:rPr>
          <w:rFonts w:hint="eastAsia" w:ascii="Times New Roman"/>
          <w:color w:val="000000"/>
        </w:rPr>
        <w:t>）项目管理机构</w:t>
      </w:r>
    </w:p>
    <w:p w14:paraId="1F025250">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5</w:t>
      </w:r>
      <w:r>
        <w:rPr>
          <w:rFonts w:hint="eastAsia" w:ascii="Times New Roman"/>
          <w:color w:val="000000"/>
        </w:rPr>
        <w:t>）</w:t>
      </w:r>
      <w:r>
        <w:rPr>
          <w:rFonts w:hint="eastAsia" w:ascii="Times New Roman" w:hAnsi="Times New Roman"/>
          <w:color w:val="000000"/>
        </w:rPr>
        <w:t>资格审查材料</w:t>
      </w:r>
    </w:p>
    <w:p w14:paraId="371C80D5">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6</w:t>
      </w:r>
      <w:r>
        <w:rPr>
          <w:rFonts w:hint="eastAsia" w:ascii="Times New Roman"/>
          <w:color w:val="000000"/>
        </w:rPr>
        <w:t>）</w:t>
      </w:r>
      <w:r>
        <w:rPr>
          <w:rFonts w:hint="eastAsia" w:ascii="Times New Roman" w:hAnsi="Times New Roman"/>
          <w:color w:val="000000"/>
        </w:rPr>
        <w:t>投标人须知前附表规定的其他材料。</w:t>
      </w:r>
    </w:p>
    <w:p w14:paraId="5B8746F1">
      <w:pPr>
        <w:pStyle w:val="4"/>
        <w:widowControl/>
        <w:spacing w:before="0" w:after="0" w:line="300" w:lineRule="auto"/>
        <w:rPr>
          <w:rFonts w:hint="eastAsia"/>
          <w:color w:val="000000"/>
        </w:rPr>
      </w:pPr>
      <w:bookmarkStart w:id="29" w:name="_Toc28491"/>
      <w:r>
        <w:rPr>
          <w:color w:val="000000"/>
        </w:rPr>
        <w:t xml:space="preserve">3.2 </w:t>
      </w:r>
      <w:r>
        <w:rPr>
          <w:rFonts w:hint="eastAsia"/>
          <w:color w:val="000000"/>
        </w:rPr>
        <w:t>投标报价</w:t>
      </w:r>
      <w:bookmarkEnd w:id="29"/>
    </w:p>
    <w:p w14:paraId="467E6756">
      <w:pPr>
        <w:spacing w:line="300" w:lineRule="auto"/>
        <w:ind w:firstLine="420" w:firstLineChars="200"/>
        <w:rPr>
          <w:rFonts w:ascii="Times New Roman" w:hAnsi="Times New Roman"/>
          <w:color w:val="000000"/>
        </w:rPr>
      </w:pPr>
      <w:r>
        <w:rPr>
          <w:rFonts w:hint="eastAsia" w:ascii="Times New Roman" w:hAnsi="Times New Roman"/>
          <w:color w:val="000000"/>
        </w:rPr>
        <w:t xml:space="preserve">3.2.1 </w:t>
      </w:r>
      <w:r>
        <w:rPr>
          <w:rFonts w:ascii="Times New Roman" w:hAnsi="Times New Roman"/>
          <w:color w:val="000000"/>
        </w:rPr>
        <w:t>报价要求：投标人须根据本招标文件、工程量清单、技术标准和要求以及市场情况，进行自主报价。工程量清单中的每一子目均需填报综合单价和合价，只允许有一个报价，不得有选择性报价。</w:t>
      </w:r>
    </w:p>
    <w:p w14:paraId="1D9A1CFC">
      <w:pPr>
        <w:spacing w:line="300" w:lineRule="auto"/>
        <w:ind w:firstLine="420" w:firstLineChars="200"/>
        <w:rPr>
          <w:rFonts w:ascii="Times New Roman" w:hAnsi="Times New Roman"/>
          <w:color w:val="000000"/>
        </w:rPr>
      </w:pPr>
      <w:r>
        <w:rPr>
          <w:rFonts w:hint="eastAsia" w:ascii="Times New Roman" w:hAnsi="Times New Roman"/>
          <w:color w:val="000000"/>
        </w:rPr>
        <w:t xml:space="preserve">3.2.2 </w:t>
      </w:r>
      <w:r>
        <w:rPr>
          <w:rFonts w:ascii="Times New Roman" w:hAnsi="Times New Roman"/>
          <w:color w:val="000000"/>
        </w:rPr>
        <w:t>报价完整性：所填报的综合单价和总价，应已全面包含为完成该项目清单子目所明示或暗示的全部工作内容、责任、义务和风险。具体包括：人工费、材料费（除甲供材本身价值）、施工机具使用费；管理费、利润；措施项目费（如安全文明施工费、夜间施工费、冬雨季施工费、春节赶工措施费、成品保护</w:t>
      </w:r>
      <w:r>
        <w:rPr>
          <w:rFonts w:hint="eastAsia" w:ascii="Times New Roman" w:hAnsi="Times New Roman"/>
          <w:color w:val="000000"/>
        </w:rPr>
        <w:t>、</w:t>
      </w:r>
      <w:r>
        <w:rPr>
          <w:rFonts w:ascii="Times New Roman" w:hAnsi="Times New Roman"/>
          <w:color w:val="000000"/>
        </w:rPr>
        <w:t>检验费等）、规费、税金（增值税）；</w:t>
      </w:r>
    </w:p>
    <w:p w14:paraId="19985CDC">
      <w:pPr>
        <w:spacing w:line="300" w:lineRule="auto"/>
        <w:ind w:firstLine="420" w:firstLineChars="200"/>
        <w:rPr>
          <w:rFonts w:ascii="Times New Roman" w:hAnsi="Times New Roman"/>
          <w:color w:val="000000"/>
        </w:rPr>
      </w:pPr>
      <w:r>
        <w:rPr>
          <w:rFonts w:hint="eastAsia" w:ascii="Times New Roman" w:hAnsi="Times New Roman"/>
          <w:color w:val="000000"/>
        </w:rPr>
        <w:t xml:space="preserve">3.2.3 </w:t>
      </w:r>
      <w:r>
        <w:rPr>
          <w:rFonts w:ascii="Times New Roman" w:hAnsi="Times New Roman"/>
          <w:color w:val="000000"/>
        </w:rPr>
        <w:t>漏项与风险：投标人应对工程量清单进行认真核查。凡在工程量清单中未填报单价或价格的项目，招标人将视为此项目的费用已包含在工程量清单的其他项目的单价或合价中。中标后，招标人对此类未报价项目将不予另行支付。</w:t>
      </w:r>
    </w:p>
    <w:p w14:paraId="4AF1DAE6">
      <w:pPr>
        <w:spacing w:line="300" w:lineRule="auto"/>
        <w:ind w:firstLine="420" w:firstLineChars="200"/>
        <w:rPr>
          <w:rFonts w:ascii="Times New Roman" w:hAnsi="Times New Roman"/>
          <w:color w:val="000000"/>
        </w:rPr>
      </w:pPr>
      <w:r>
        <w:rPr>
          <w:rFonts w:hint="eastAsia" w:ascii="Times New Roman" w:hAnsi="Times New Roman"/>
          <w:color w:val="000000"/>
        </w:rPr>
        <w:t xml:space="preserve">3.2.4 </w:t>
      </w:r>
      <w:r>
        <w:rPr>
          <w:rFonts w:ascii="Times New Roman" w:hAnsi="Times New Roman"/>
          <w:color w:val="000000"/>
        </w:rPr>
        <w:t>报价形式：投标总报价应为人民币报价，单位为“元”。投标人须在《开标一览表》中填写投标总价（大写及小写），并在已标价的工程量清单文件中提供详细的单价分析。</w:t>
      </w:r>
    </w:p>
    <w:p w14:paraId="7EBC8133">
      <w:pPr>
        <w:spacing w:line="300" w:lineRule="auto"/>
        <w:ind w:firstLine="420" w:firstLineChars="200"/>
        <w:rPr>
          <w:rFonts w:ascii="Times New Roman" w:hAnsi="Times New Roman"/>
          <w:color w:val="000000"/>
        </w:rPr>
      </w:pPr>
      <w:r>
        <w:rPr>
          <w:rFonts w:hint="eastAsia" w:ascii="Times New Roman" w:hAnsi="Times New Roman"/>
          <w:color w:val="000000"/>
        </w:rPr>
        <w:t xml:space="preserve">3.2.5 </w:t>
      </w:r>
      <w:r>
        <w:rPr>
          <w:rFonts w:ascii="Times New Roman" w:hAnsi="Times New Roman"/>
          <w:color w:val="000000"/>
        </w:rPr>
        <w:t>暂列金额：工程量清单中列出的“暂列金额”为招标人可能用于工程变更等事项的备用金，投标人应按招标文件列出的金额直接计入投标总价，不得变动。</w:t>
      </w:r>
    </w:p>
    <w:p w14:paraId="0AC22FA9">
      <w:pPr>
        <w:spacing w:line="300" w:lineRule="auto"/>
        <w:ind w:firstLine="420" w:firstLineChars="200"/>
        <w:rPr>
          <w:rFonts w:ascii="Times New Roman" w:hAnsi="Times New Roman"/>
          <w:color w:val="000000"/>
        </w:rPr>
      </w:pPr>
      <w:r>
        <w:rPr>
          <w:rFonts w:hint="eastAsia" w:ascii="Times New Roman" w:hAnsi="Times New Roman"/>
          <w:color w:val="000000"/>
        </w:rPr>
        <w:t xml:space="preserve">3.2.6 </w:t>
      </w:r>
      <w:r>
        <w:rPr>
          <w:rFonts w:ascii="Times New Roman" w:hAnsi="Times New Roman"/>
          <w:color w:val="000000"/>
        </w:rPr>
        <w:t>风险承担：投标人应充分考虑施工期间市场价格波动（除合同条款另有约定外）、冬季施工、春节假期、工期极端紧张等各类风险因素，并在报价中自行承担相关风险费用。招标人将认为投标人的报价已覆盖其应预见的全部风险。</w:t>
      </w:r>
    </w:p>
    <w:p w14:paraId="38A3F1EB">
      <w:pPr>
        <w:rPr>
          <w:rFonts w:hint="eastAsia"/>
        </w:rPr>
      </w:pPr>
    </w:p>
    <w:p w14:paraId="363FC154">
      <w:pPr>
        <w:pStyle w:val="4"/>
        <w:widowControl/>
        <w:spacing w:before="0" w:after="0" w:line="300" w:lineRule="auto"/>
        <w:rPr>
          <w:rFonts w:hint="eastAsia"/>
          <w:bCs w:val="0"/>
          <w:color w:val="000000"/>
        </w:rPr>
      </w:pPr>
      <w:bookmarkStart w:id="30" w:name="_Toc13896"/>
      <w:r>
        <w:rPr>
          <w:bCs w:val="0"/>
          <w:color w:val="000000"/>
        </w:rPr>
        <w:t xml:space="preserve">3.3 </w:t>
      </w:r>
      <w:r>
        <w:rPr>
          <w:rFonts w:hint="eastAsia"/>
          <w:bCs w:val="0"/>
          <w:color w:val="000000"/>
        </w:rPr>
        <w:t>投标有效期</w:t>
      </w:r>
      <w:bookmarkEnd w:id="30"/>
    </w:p>
    <w:p w14:paraId="46E88A5B">
      <w:pPr>
        <w:spacing w:line="300" w:lineRule="auto"/>
        <w:ind w:firstLine="420" w:firstLineChars="200"/>
        <w:rPr>
          <w:rFonts w:ascii="Times New Roman" w:hAnsi="Times New Roman"/>
          <w:color w:val="000000"/>
        </w:rPr>
      </w:pPr>
      <w:r>
        <w:rPr>
          <w:rFonts w:ascii="Times New Roman" w:hAnsi="Times New Roman"/>
          <w:color w:val="000000"/>
        </w:rPr>
        <w:t xml:space="preserve">3.3.1 </w:t>
      </w:r>
      <w:r>
        <w:rPr>
          <w:rFonts w:hint="eastAsia" w:ascii="Times New Roman" w:hAnsi="Times New Roman"/>
          <w:color w:val="000000"/>
        </w:rPr>
        <w:t>在投标人须知前附表规定的投标有效期内，投标人不得要求撤销或修改其投标文件。</w:t>
      </w:r>
    </w:p>
    <w:p w14:paraId="6210B2E7">
      <w:pPr>
        <w:spacing w:line="300" w:lineRule="auto"/>
        <w:ind w:firstLine="420" w:firstLineChars="200"/>
        <w:rPr>
          <w:rFonts w:ascii="Times New Roman" w:hAnsi="Times New Roman"/>
          <w:color w:val="000000"/>
        </w:rPr>
      </w:pPr>
      <w:r>
        <w:rPr>
          <w:rFonts w:ascii="Times New Roman" w:hAnsi="Times New Roman"/>
          <w:color w:val="000000"/>
        </w:rPr>
        <w:t xml:space="preserve">3.3.2 </w:t>
      </w:r>
      <w:r>
        <w:rPr>
          <w:rFonts w:hint="eastAsia" w:ascii="Times New Roman" w:hAnsi="Times New Roman"/>
          <w:color w:val="000000"/>
        </w:rPr>
        <w:t>出现特殊情况需要延长投标有效期的，招标人将电话通知所有投标人延长投标有效期。投标人同意延长的，应相应延长其投标保证金的有效期，但不得要求修改或撤销其投标文件；投标人拒绝延长的，其投标失效，但投标人有权收回其投标保证金。</w:t>
      </w:r>
    </w:p>
    <w:p w14:paraId="35AC2CB3">
      <w:pPr>
        <w:pStyle w:val="4"/>
        <w:widowControl/>
        <w:spacing w:before="0" w:after="0" w:line="300" w:lineRule="auto"/>
        <w:rPr>
          <w:rFonts w:hint="eastAsia"/>
          <w:bCs w:val="0"/>
          <w:color w:val="000000"/>
        </w:rPr>
      </w:pPr>
      <w:bookmarkStart w:id="31" w:name="_Toc16660"/>
      <w:r>
        <w:rPr>
          <w:bCs w:val="0"/>
          <w:color w:val="000000"/>
        </w:rPr>
        <w:t xml:space="preserve">3.4 </w:t>
      </w:r>
      <w:r>
        <w:rPr>
          <w:rFonts w:hint="eastAsia"/>
          <w:bCs w:val="0"/>
          <w:color w:val="000000"/>
        </w:rPr>
        <w:t>投标保证金：20000元</w:t>
      </w:r>
      <w:bookmarkEnd w:id="31"/>
    </w:p>
    <w:p w14:paraId="293B8E45">
      <w:pPr>
        <w:pStyle w:val="4"/>
        <w:widowControl/>
        <w:spacing w:before="0" w:after="0" w:line="300" w:lineRule="auto"/>
        <w:rPr>
          <w:rFonts w:hint="eastAsia"/>
          <w:bCs w:val="0"/>
          <w:color w:val="000000"/>
        </w:rPr>
      </w:pPr>
      <w:bookmarkStart w:id="32" w:name="_Toc9754"/>
      <w:r>
        <w:rPr>
          <w:bCs w:val="0"/>
          <w:color w:val="000000"/>
        </w:rPr>
        <w:t xml:space="preserve">3.5 </w:t>
      </w:r>
      <w:r>
        <w:rPr>
          <w:rFonts w:hint="eastAsia"/>
          <w:bCs w:val="0"/>
          <w:color w:val="000000"/>
        </w:rPr>
        <w:t>资格审查资料</w:t>
      </w:r>
      <w:bookmarkEnd w:id="32"/>
    </w:p>
    <w:p w14:paraId="6CCDAC3B">
      <w:pPr>
        <w:spacing w:line="300" w:lineRule="auto"/>
        <w:ind w:firstLine="420" w:firstLineChars="200"/>
        <w:rPr>
          <w:rFonts w:ascii="Times New Roman" w:hAnsi="Times New Roman"/>
          <w:color w:val="000000"/>
        </w:rPr>
      </w:pPr>
      <w:r>
        <w:rPr>
          <w:rFonts w:ascii="Times New Roman" w:hAnsi="Times New Roman"/>
          <w:color w:val="000000"/>
        </w:rPr>
        <w:t>3.5.1 “</w:t>
      </w:r>
      <w:r>
        <w:rPr>
          <w:rFonts w:hint="eastAsia" w:ascii="Times New Roman" w:hAnsi="Times New Roman"/>
          <w:color w:val="000000"/>
        </w:rPr>
        <w:t>投标人基本情况表</w:t>
      </w:r>
      <w:r>
        <w:rPr>
          <w:rFonts w:ascii="Times New Roman" w:hAnsi="Times New Roman"/>
          <w:color w:val="000000"/>
        </w:rPr>
        <w:t>”</w:t>
      </w:r>
      <w:r>
        <w:rPr>
          <w:rFonts w:hint="eastAsia" w:ascii="Times New Roman" w:hAnsi="Times New Roman"/>
          <w:color w:val="000000"/>
        </w:rPr>
        <w:t>应附投标人营业执照副本、资质证书副本等材料的复印件。</w:t>
      </w:r>
    </w:p>
    <w:p w14:paraId="295531FF">
      <w:pPr>
        <w:spacing w:line="300" w:lineRule="auto"/>
        <w:ind w:firstLine="420" w:firstLineChars="200"/>
        <w:rPr>
          <w:rFonts w:ascii="Times New Roman" w:hAnsi="Times New Roman"/>
          <w:color w:val="000000"/>
        </w:rPr>
      </w:pPr>
      <w:r>
        <w:rPr>
          <w:rFonts w:ascii="Times New Roman" w:hAnsi="Times New Roman"/>
          <w:color w:val="000000"/>
        </w:rPr>
        <w:t>3.5.2 “</w:t>
      </w:r>
      <w:r>
        <w:rPr>
          <w:rFonts w:hint="eastAsia" w:ascii="Times New Roman" w:hAnsi="Times New Roman"/>
          <w:color w:val="000000"/>
        </w:rPr>
        <w:t>近年财务状况表</w:t>
      </w:r>
      <w:r>
        <w:rPr>
          <w:rFonts w:ascii="Times New Roman" w:hAnsi="Times New Roman"/>
          <w:color w:val="000000"/>
        </w:rPr>
        <w:t>”</w:t>
      </w:r>
      <w:r>
        <w:rPr>
          <w:rFonts w:hint="eastAsia" w:ascii="Times New Roman" w:hAnsi="Times New Roman"/>
          <w:color w:val="000000"/>
        </w:rPr>
        <w:t>应附经合法的会计师事务所或审计机构审计的财务会计报表，包括资产负债表、现金流量表、利润表和财务情况说明书的复印件，具体年份要求详见投标人须知前附表。</w:t>
      </w:r>
    </w:p>
    <w:p w14:paraId="446BC01B">
      <w:pPr>
        <w:spacing w:line="300" w:lineRule="auto"/>
        <w:ind w:firstLine="420" w:firstLineChars="200"/>
        <w:rPr>
          <w:rFonts w:ascii="Times New Roman" w:hAnsi="Times New Roman"/>
          <w:color w:val="000000"/>
        </w:rPr>
      </w:pPr>
      <w:r>
        <w:rPr>
          <w:rFonts w:ascii="Times New Roman" w:hAnsi="Times New Roman"/>
          <w:color w:val="000000"/>
        </w:rPr>
        <w:t>3.5.</w:t>
      </w:r>
      <w:r>
        <w:rPr>
          <w:rFonts w:hint="eastAsia" w:ascii="Times New Roman" w:hAnsi="Times New Roman"/>
          <w:color w:val="000000"/>
        </w:rPr>
        <w:t>3投标人需要编制满足招标要求的资格审查文件，资格审查文件单独胶装一份，单独密封。</w:t>
      </w:r>
    </w:p>
    <w:p w14:paraId="74B595AF">
      <w:pPr>
        <w:pStyle w:val="4"/>
        <w:widowControl/>
        <w:spacing w:before="0" w:after="0" w:line="300" w:lineRule="auto"/>
        <w:rPr>
          <w:rFonts w:hint="eastAsia"/>
          <w:bCs w:val="0"/>
          <w:color w:val="000000"/>
        </w:rPr>
      </w:pPr>
      <w:bookmarkStart w:id="33" w:name="_Toc14517"/>
      <w:r>
        <w:rPr>
          <w:bCs w:val="0"/>
          <w:color w:val="000000"/>
        </w:rPr>
        <w:t xml:space="preserve">3.6 </w:t>
      </w:r>
      <w:r>
        <w:rPr>
          <w:rFonts w:hint="eastAsia"/>
          <w:bCs w:val="0"/>
          <w:color w:val="000000"/>
        </w:rPr>
        <w:t>备选投标方案</w:t>
      </w:r>
      <w:bookmarkEnd w:id="33"/>
    </w:p>
    <w:p w14:paraId="753C5E85">
      <w:pPr>
        <w:spacing w:line="300" w:lineRule="auto"/>
        <w:ind w:firstLine="420" w:firstLineChars="200"/>
        <w:rPr>
          <w:rFonts w:ascii="Times New Roman" w:hAnsi="Times New Roman"/>
          <w:color w:val="000000"/>
        </w:rPr>
      </w:pPr>
      <w:r>
        <w:rPr>
          <w:rFonts w:hint="eastAsia" w:ascii="Times New Roman" w:hAnsi="Times New Roman"/>
          <w:color w:val="000000"/>
        </w:rPr>
        <w:t>投标人对本工程只能有一个投标方案，招标人不接受投标人的备选方案。</w:t>
      </w:r>
    </w:p>
    <w:p w14:paraId="28030F93">
      <w:pPr>
        <w:pStyle w:val="4"/>
        <w:widowControl/>
        <w:spacing w:before="0" w:after="0" w:line="300" w:lineRule="auto"/>
        <w:rPr>
          <w:rFonts w:hint="eastAsia"/>
          <w:bCs w:val="0"/>
          <w:color w:val="000000"/>
        </w:rPr>
      </w:pPr>
      <w:bookmarkStart w:id="34" w:name="_Toc1551"/>
      <w:r>
        <w:rPr>
          <w:bCs w:val="0"/>
          <w:color w:val="000000"/>
        </w:rPr>
        <w:t>3.7</w:t>
      </w:r>
      <w:r>
        <w:rPr>
          <w:rFonts w:hint="eastAsia"/>
          <w:bCs w:val="0"/>
          <w:color w:val="000000"/>
        </w:rPr>
        <w:t>投标文件的编制</w:t>
      </w:r>
      <w:bookmarkEnd w:id="34"/>
    </w:p>
    <w:p w14:paraId="18794C9A">
      <w:pPr>
        <w:spacing w:line="300" w:lineRule="auto"/>
        <w:ind w:firstLine="420" w:firstLineChars="200"/>
        <w:rPr>
          <w:rFonts w:ascii="Times New Roman" w:hAnsi="Times New Roman"/>
          <w:color w:val="000000"/>
        </w:rPr>
      </w:pPr>
      <w:r>
        <w:rPr>
          <w:rFonts w:ascii="Times New Roman" w:hAnsi="Times New Roman"/>
          <w:color w:val="000000"/>
        </w:rPr>
        <w:t>3.7.1</w:t>
      </w:r>
      <w:r>
        <w:rPr>
          <w:rFonts w:hint="eastAsia" w:ascii="Times New Roman" w:hAnsi="Times New Roman"/>
          <w:color w:val="000000"/>
        </w:rPr>
        <w:t>投标文件应按第七章</w:t>
      </w:r>
      <w:r>
        <w:rPr>
          <w:rFonts w:ascii="Times New Roman" w:hAnsi="Times New Roman"/>
          <w:color w:val="000000"/>
        </w:rPr>
        <w:t>“</w:t>
      </w:r>
      <w:r>
        <w:rPr>
          <w:rFonts w:hint="eastAsia" w:ascii="Times New Roman" w:hAnsi="Times New Roman"/>
          <w:color w:val="000000"/>
        </w:rPr>
        <w:t>投标文件格式</w:t>
      </w:r>
      <w:r>
        <w:rPr>
          <w:rFonts w:ascii="Times New Roman" w:hAnsi="Times New Roman"/>
          <w:color w:val="000000"/>
        </w:rPr>
        <w:t>”</w:t>
      </w:r>
      <w:r>
        <w:rPr>
          <w:rFonts w:hint="eastAsia" w:ascii="Times New Roman" w:hAnsi="Times New Roman"/>
          <w:color w:val="000000"/>
        </w:rPr>
        <w:t>进行编写，如有必要，可以增加附页，作为投标文件的组成部分。其中，投标函附录在满足招标文件实质性要求的基础上，可以提出比招标文件要求更有利于招标人的承诺。</w:t>
      </w:r>
    </w:p>
    <w:p w14:paraId="007C6D64">
      <w:pPr>
        <w:spacing w:line="300" w:lineRule="auto"/>
        <w:ind w:firstLine="420" w:firstLineChars="200"/>
        <w:rPr>
          <w:rFonts w:ascii="Times New Roman" w:hAnsi="Times New Roman"/>
          <w:color w:val="000000"/>
        </w:rPr>
      </w:pPr>
      <w:r>
        <w:rPr>
          <w:rFonts w:ascii="Times New Roman" w:hAnsi="Times New Roman"/>
          <w:color w:val="000000"/>
        </w:rPr>
        <w:t xml:space="preserve">3.7.2 </w:t>
      </w:r>
      <w:r>
        <w:rPr>
          <w:rFonts w:hint="eastAsia" w:ascii="Times New Roman" w:hAnsi="Times New Roman"/>
          <w:color w:val="000000"/>
        </w:rPr>
        <w:t>投标文件应当对招标文件有关工期、投标有效期、质量要求、技术标准和要求等实质性内容作出响应。</w:t>
      </w:r>
    </w:p>
    <w:p w14:paraId="407D46B5">
      <w:pPr>
        <w:spacing w:line="300" w:lineRule="auto"/>
        <w:ind w:firstLine="420" w:firstLineChars="200"/>
        <w:rPr>
          <w:rFonts w:ascii="Times New Roman" w:hAnsi="Times New Roman"/>
          <w:color w:val="000000"/>
        </w:rPr>
      </w:pPr>
      <w:r>
        <w:rPr>
          <w:rFonts w:ascii="Times New Roman" w:hAnsi="Times New Roman"/>
          <w:color w:val="000000"/>
        </w:rPr>
        <w:t>3.7.3</w:t>
      </w:r>
      <w:r>
        <w:rPr>
          <w:rFonts w:hint="eastAsia" w:ascii="Times New Roman" w:hAnsi="Times New Roman"/>
          <w:color w:val="000000"/>
        </w:rPr>
        <w:t>投标文件应用不褪色的材料书写或打印，并由的法定代表人或其委托代理人签字或盖单位章。委托代理人签字的，投标文件应附法定代表人签署的授权委托书。投标文件应尽量避免涂改、行间插字或删除。如果出现上述情况，改动之处应加盖单位章或由的法定代表人或其授权的代理人签字确认。签字或盖章的具体要求见须知前附表。</w:t>
      </w:r>
    </w:p>
    <w:p w14:paraId="210E5C22">
      <w:pPr>
        <w:spacing w:line="300" w:lineRule="auto"/>
        <w:ind w:firstLine="420" w:firstLineChars="200"/>
        <w:rPr>
          <w:rFonts w:ascii="Times New Roman" w:hAnsi="Times New Roman"/>
          <w:color w:val="000000"/>
        </w:rPr>
      </w:pPr>
      <w:r>
        <w:rPr>
          <w:rFonts w:ascii="Times New Roman" w:hAnsi="Times New Roman"/>
          <w:color w:val="000000"/>
        </w:rPr>
        <w:t xml:space="preserve">3.7.4 </w:t>
      </w:r>
      <w:r>
        <w:rPr>
          <w:rFonts w:hint="eastAsia" w:ascii="Times New Roman" w:hAnsi="Times New Roman"/>
          <w:color w:val="000000"/>
        </w:rPr>
        <w:t>投标文件正本一份</w:t>
      </w:r>
      <w:r>
        <w:rPr>
          <w:rFonts w:ascii="Times New Roman" w:hAnsi="Times New Roman"/>
          <w:color w:val="000000"/>
        </w:rPr>
        <w:t xml:space="preserve">, </w:t>
      </w:r>
      <w:r>
        <w:rPr>
          <w:rFonts w:hint="eastAsia" w:ascii="Times New Roman" w:hAnsi="Times New Roman"/>
          <w:color w:val="000000"/>
        </w:rPr>
        <w:t>副本二份，见须知前附表。正本和副本的封面上应清楚地标记</w:t>
      </w:r>
      <w:r>
        <w:rPr>
          <w:rFonts w:ascii="Times New Roman" w:hAnsi="Times New Roman"/>
          <w:color w:val="000000"/>
        </w:rPr>
        <w:t>“</w:t>
      </w:r>
      <w:r>
        <w:rPr>
          <w:rFonts w:hint="eastAsia" w:ascii="Times New Roman" w:hAnsi="Times New Roman"/>
          <w:color w:val="000000"/>
        </w:rPr>
        <w:t>正本</w:t>
      </w:r>
      <w:r>
        <w:rPr>
          <w:rFonts w:ascii="Times New Roman" w:hAnsi="Times New Roman"/>
          <w:color w:val="000000"/>
        </w:rPr>
        <w:t>”</w:t>
      </w:r>
      <w:r>
        <w:rPr>
          <w:rFonts w:hint="eastAsia" w:ascii="Times New Roman" w:hAnsi="Times New Roman"/>
          <w:color w:val="000000"/>
        </w:rPr>
        <w:t>或</w:t>
      </w:r>
      <w:r>
        <w:rPr>
          <w:rFonts w:ascii="Times New Roman" w:hAnsi="Times New Roman"/>
          <w:color w:val="000000"/>
        </w:rPr>
        <w:t>“</w:t>
      </w:r>
      <w:r>
        <w:rPr>
          <w:rFonts w:hint="eastAsia" w:ascii="Times New Roman" w:hAnsi="Times New Roman"/>
          <w:color w:val="000000"/>
        </w:rPr>
        <w:t>副本</w:t>
      </w:r>
      <w:r>
        <w:rPr>
          <w:rFonts w:ascii="Times New Roman" w:hAnsi="Times New Roman"/>
          <w:color w:val="000000"/>
        </w:rPr>
        <w:t>”</w:t>
      </w:r>
      <w:r>
        <w:rPr>
          <w:rFonts w:hint="eastAsia" w:ascii="Times New Roman" w:hAnsi="Times New Roman"/>
          <w:color w:val="000000"/>
        </w:rPr>
        <w:t>的字样。当副本和正本不一致时，以正本为准。</w:t>
      </w:r>
    </w:p>
    <w:p w14:paraId="3EF14324">
      <w:pPr>
        <w:spacing w:line="300" w:lineRule="auto"/>
        <w:ind w:firstLine="420" w:firstLineChars="200"/>
        <w:rPr>
          <w:rFonts w:ascii="Times New Roman" w:hAnsi="Times New Roman"/>
          <w:color w:val="000000"/>
        </w:rPr>
      </w:pPr>
      <w:r>
        <w:rPr>
          <w:rFonts w:ascii="Times New Roman" w:hAnsi="Times New Roman"/>
          <w:color w:val="000000"/>
        </w:rPr>
        <w:t xml:space="preserve">3.7.5 </w:t>
      </w:r>
      <w:r>
        <w:rPr>
          <w:rFonts w:hint="eastAsia" w:ascii="Times New Roman" w:hAnsi="Times New Roman"/>
          <w:color w:val="000000"/>
        </w:rPr>
        <w:t>投标文件的正本与副本应分别胶装成册，不得采用活页装订。</w:t>
      </w:r>
    </w:p>
    <w:p w14:paraId="48A99E29">
      <w:pPr>
        <w:pStyle w:val="161"/>
        <w:widowControl/>
        <w:spacing w:before="0" w:line="300" w:lineRule="auto"/>
        <w:rPr>
          <w:color w:val="000000"/>
          <w:sz w:val="30"/>
          <w:szCs w:val="30"/>
        </w:rPr>
      </w:pPr>
      <w:bookmarkStart w:id="35" w:name="_Toc28661"/>
      <w:r>
        <w:rPr>
          <w:color w:val="000000"/>
          <w:sz w:val="30"/>
          <w:szCs w:val="30"/>
        </w:rPr>
        <w:t xml:space="preserve">4. </w:t>
      </w:r>
      <w:r>
        <w:rPr>
          <w:rFonts w:hint="eastAsia"/>
          <w:color w:val="000000"/>
          <w:sz w:val="30"/>
          <w:szCs w:val="30"/>
        </w:rPr>
        <w:t>投标</w:t>
      </w:r>
      <w:bookmarkEnd w:id="35"/>
    </w:p>
    <w:p w14:paraId="2E255BD2">
      <w:pPr>
        <w:pStyle w:val="4"/>
        <w:widowControl/>
        <w:spacing w:before="0" w:after="0" w:line="300" w:lineRule="auto"/>
        <w:rPr>
          <w:rFonts w:hint="eastAsia"/>
          <w:bCs w:val="0"/>
          <w:color w:val="000000"/>
        </w:rPr>
      </w:pPr>
      <w:bookmarkStart w:id="36" w:name="_Toc22553"/>
      <w:r>
        <w:rPr>
          <w:bCs w:val="0"/>
          <w:color w:val="000000"/>
        </w:rPr>
        <w:t xml:space="preserve">4.1 </w:t>
      </w:r>
      <w:r>
        <w:rPr>
          <w:rFonts w:hint="eastAsia"/>
          <w:bCs w:val="0"/>
          <w:color w:val="000000"/>
        </w:rPr>
        <w:t>投标文件的密封和标记</w:t>
      </w:r>
      <w:bookmarkEnd w:id="36"/>
    </w:p>
    <w:p w14:paraId="6A40415B">
      <w:pPr>
        <w:spacing w:line="300" w:lineRule="auto"/>
        <w:ind w:firstLine="420" w:firstLineChars="200"/>
        <w:rPr>
          <w:rFonts w:ascii="Times New Roman" w:hAnsi="Times New Roman"/>
          <w:color w:val="000000"/>
        </w:rPr>
      </w:pPr>
      <w:r>
        <w:rPr>
          <w:rFonts w:ascii="Times New Roman" w:hAnsi="Times New Roman"/>
          <w:color w:val="000000"/>
        </w:rPr>
        <w:t xml:space="preserve">4.1.1 </w:t>
      </w:r>
      <w:r>
        <w:rPr>
          <w:rFonts w:hint="eastAsia" w:ascii="Times New Roman" w:hAnsi="Times New Roman"/>
          <w:color w:val="000000"/>
        </w:rPr>
        <w:t>投标文件应进行包装、加贴封条，并在封套的封口处加盖单位章。</w:t>
      </w:r>
    </w:p>
    <w:p w14:paraId="3E18377F">
      <w:pPr>
        <w:spacing w:line="300" w:lineRule="auto"/>
        <w:ind w:firstLine="420" w:firstLineChars="200"/>
        <w:rPr>
          <w:rFonts w:ascii="Times New Roman" w:hAnsi="Times New Roman"/>
          <w:color w:val="000000"/>
        </w:rPr>
      </w:pPr>
      <w:r>
        <w:rPr>
          <w:rFonts w:ascii="Times New Roman" w:hAnsi="Times New Roman"/>
          <w:color w:val="000000"/>
        </w:rPr>
        <w:t xml:space="preserve">4.1.2 </w:t>
      </w:r>
      <w:r>
        <w:rPr>
          <w:rFonts w:hint="eastAsia" w:ascii="Times New Roman" w:hAnsi="Times New Roman"/>
          <w:color w:val="000000"/>
        </w:rPr>
        <w:t>投标文件封套上应写明的内容见须知前附表。</w:t>
      </w:r>
    </w:p>
    <w:p w14:paraId="4215CB25">
      <w:pPr>
        <w:spacing w:line="300" w:lineRule="auto"/>
        <w:ind w:firstLine="420" w:firstLineChars="200"/>
        <w:rPr>
          <w:rFonts w:ascii="Times New Roman" w:hAnsi="Times New Roman"/>
          <w:color w:val="000000"/>
        </w:rPr>
      </w:pPr>
      <w:r>
        <w:rPr>
          <w:rFonts w:ascii="Times New Roman" w:hAnsi="Times New Roman"/>
          <w:color w:val="000000"/>
        </w:rPr>
        <w:t xml:space="preserve">4.1.3 </w:t>
      </w:r>
      <w:r>
        <w:rPr>
          <w:rFonts w:hint="eastAsia" w:ascii="Times New Roman" w:hAnsi="Times New Roman"/>
          <w:color w:val="000000"/>
        </w:rPr>
        <w:t>投标文件电子版、开标一览表应分别单独密封。</w:t>
      </w:r>
    </w:p>
    <w:p w14:paraId="591F1345">
      <w:pPr>
        <w:spacing w:line="300" w:lineRule="auto"/>
        <w:ind w:firstLine="420" w:firstLineChars="200"/>
        <w:rPr>
          <w:rFonts w:ascii="Times New Roman" w:hAnsi="Times New Roman"/>
          <w:color w:val="000000"/>
        </w:rPr>
      </w:pPr>
      <w:r>
        <w:rPr>
          <w:rFonts w:ascii="Times New Roman" w:hAnsi="Times New Roman"/>
          <w:color w:val="000000"/>
        </w:rPr>
        <w:t xml:space="preserve">4.1.4 </w:t>
      </w:r>
      <w:r>
        <w:rPr>
          <w:rFonts w:hint="eastAsia" w:ascii="Times New Roman" w:hAnsi="Times New Roman"/>
          <w:color w:val="000000"/>
        </w:rPr>
        <w:t>未按本章第</w:t>
      </w:r>
      <w:r>
        <w:rPr>
          <w:rFonts w:ascii="Times New Roman" w:hAnsi="Times New Roman"/>
          <w:color w:val="000000"/>
        </w:rPr>
        <w:t>4.1.1</w:t>
      </w:r>
      <w:r>
        <w:rPr>
          <w:rFonts w:hint="eastAsia" w:ascii="Times New Roman" w:hAnsi="Times New Roman"/>
          <w:color w:val="000000"/>
        </w:rPr>
        <w:t>项、第</w:t>
      </w:r>
      <w:r>
        <w:rPr>
          <w:rFonts w:ascii="Times New Roman" w:hAnsi="Times New Roman"/>
          <w:color w:val="000000"/>
        </w:rPr>
        <w:t>4.1.2</w:t>
      </w:r>
      <w:r>
        <w:rPr>
          <w:rFonts w:hint="eastAsia" w:ascii="Times New Roman" w:hAnsi="Times New Roman"/>
          <w:color w:val="000000"/>
        </w:rPr>
        <w:t>项、第</w:t>
      </w:r>
      <w:r>
        <w:rPr>
          <w:rFonts w:ascii="Times New Roman" w:hAnsi="Times New Roman"/>
          <w:color w:val="000000"/>
        </w:rPr>
        <w:t>4.1.3</w:t>
      </w:r>
      <w:r>
        <w:rPr>
          <w:rFonts w:hint="eastAsia" w:ascii="Times New Roman" w:hAnsi="Times New Roman"/>
          <w:color w:val="000000"/>
        </w:rPr>
        <w:t>项要求密封和加写标记的投标文件，招标人应予拒收。如密封正确，应由五个密封袋组成，即《资格审查文件》、《投标函及开标一览表》、《投标文件》（正本、副本）、《电子版》</w:t>
      </w:r>
    </w:p>
    <w:p w14:paraId="18332D30">
      <w:pPr>
        <w:pStyle w:val="4"/>
        <w:widowControl/>
        <w:spacing w:before="0" w:after="0" w:line="300" w:lineRule="auto"/>
        <w:rPr>
          <w:rFonts w:hint="eastAsia"/>
          <w:bCs w:val="0"/>
          <w:color w:val="000000"/>
        </w:rPr>
      </w:pPr>
      <w:bookmarkStart w:id="37" w:name="_Toc6937"/>
      <w:r>
        <w:rPr>
          <w:bCs w:val="0"/>
          <w:color w:val="000000"/>
        </w:rPr>
        <w:t xml:space="preserve">4.2 </w:t>
      </w:r>
      <w:r>
        <w:rPr>
          <w:rFonts w:hint="eastAsia"/>
          <w:bCs w:val="0"/>
          <w:color w:val="000000"/>
        </w:rPr>
        <w:t>投标文件的递交</w:t>
      </w:r>
      <w:bookmarkEnd w:id="37"/>
    </w:p>
    <w:p w14:paraId="7E594C39">
      <w:pPr>
        <w:spacing w:line="300" w:lineRule="auto"/>
        <w:ind w:firstLine="420" w:firstLineChars="200"/>
        <w:rPr>
          <w:rFonts w:ascii="Times New Roman" w:hAnsi="Times New Roman"/>
          <w:color w:val="000000"/>
        </w:rPr>
      </w:pPr>
      <w:r>
        <w:rPr>
          <w:rFonts w:ascii="Times New Roman" w:hAnsi="Times New Roman"/>
          <w:color w:val="000000"/>
        </w:rPr>
        <w:t>4.2.1</w:t>
      </w:r>
      <w:r>
        <w:rPr>
          <w:rFonts w:hint="eastAsia" w:ascii="Times New Roman" w:hAnsi="Times New Roman"/>
          <w:color w:val="000000"/>
        </w:rPr>
        <w:t>投标人应在规定的投标截止时间前将投标文件电子版上传至网上招标系统，同时递交纸质投标文件并自带电子版</w:t>
      </w:r>
      <w:r>
        <w:rPr>
          <w:rFonts w:ascii="Times New Roman" w:hAnsi="Times New Roman"/>
          <w:color w:val="000000"/>
        </w:rPr>
        <w:t>U</w:t>
      </w:r>
      <w:r>
        <w:rPr>
          <w:rFonts w:hint="eastAsia" w:ascii="Times New Roman" w:hAnsi="Times New Roman"/>
          <w:color w:val="000000"/>
        </w:rPr>
        <w:t>盘投标文件。</w:t>
      </w:r>
    </w:p>
    <w:p w14:paraId="42CE12FB">
      <w:pPr>
        <w:spacing w:line="300" w:lineRule="auto"/>
        <w:ind w:firstLine="420" w:firstLineChars="200"/>
        <w:rPr>
          <w:rFonts w:ascii="Times New Roman" w:hAnsi="Times New Roman"/>
          <w:color w:val="000000"/>
        </w:rPr>
      </w:pPr>
      <w:r>
        <w:rPr>
          <w:rFonts w:ascii="Times New Roman" w:hAnsi="Times New Roman"/>
          <w:color w:val="000000"/>
        </w:rPr>
        <w:t xml:space="preserve">4.2.2 </w:t>
      </w:r>
      <w:r>
        <w:rPr>
          <w:rFonts w:hint="eastAsia" w:ascii="Times New Roman" w:hAnsi="Times New Roman"/>
          <w:color w:val="000000"/>
        </w:rPr>
        <w:t>投标人递交纸质投标文件的地点：见投标人须知前附表。</w:t>
      </w:r>
    </w:p>
    <w:p w14:paraId="76BAECCA">
      <w:pPr>
        <w:spacing w:line="300" w:lineRule="auto"/>
        <w:ind w:firstLine="420" w:firstLineChars="200"/>
        <w:rPr>
          <w:rFonts w:ascii="Times New Roman" w:hAnsi="Times New Roman"/>
          <w:color w:val="000000"/>
        </w:rPr>
      </w:pPr>
      <w:r>
        <w:rPr>
          <w:rFonts w:ascii="Times New Roman" w:hAnsi="Times New Roman"/>
          <w:color w:val="000000"/>
        </w:rPr>
        <w:t xml:space="preserve">4.2.3 </w:t>
      </w:r>
      <w:r>
        <w:rPr>
          <w:rFonts w:hint="eastAsia" w:ascii="Times New Roman" w:hAnsi="Times New Roman"/>
          <w:color w:val="000000"/>
        </w:rPr>
        <w:t>除投标人须知前附表另有规定外，投标人所递交的纸质和电子版投标文件不予退还。</w:t>
      </w:r>
    </w:p>
    <w:p w14:paraId="7C1AF7C4">
      <w:pPr>
        <w:spacing w:line="300" w:lineRule="auto"/>
        <w:ind w:firstLine="420" w:firstLineChars="200"/>
        <w:rPr>
          <w:rFonts w:ascii="Times New Roman" w:hAnsi="Times New Roman"/>
          <w:color w:val="000000"/>
        </w:rPr>
      </w:pPr>
      <w:r>
        <w:rPr>
          <w:rFonts w:ascii="Times New Roman" w:hAnsi="Times New Roman"/>
          <w:color w:val="000000"/>
        </w:rPr>
        <w:t xml:space="preserve">4.2.4 </w:t>
      </w:r>
      <w:r>
        <w:rPr>
          <w:rFonts w:hint="eastAsia" w:ascii="Times New Roman" w:hAnsi="Times New Roman"/>
          <w:color w:val="000000"/>
        </w:rPr>
        <w:t>逾期送达的或者未送达指定地点的纸质投标文件或逾期自带的电子版投标文件，招标人不予受理。</w:t>
      </w:r>
    </w:p>
    <w:p w14:paraId="31A01A1B">
      <w:pPr>
        <w:pStyle w:val="4"/>
        <w:widowControl/>
        <w:spacing w:before="0" w:after="0" w:line="300" w:lineRule="auto"/>
        <w:rPr>
          <w:rFonts w:hint="eastAsia"/>
          <w:bCs w:val="0"/>
          <w:color w:val="000000"/>
        </w:rPr>
      </w:pPr>
      <w:bookmarkStart w:id="38" w:name="_Toc22786"/>
      <w:r>
        <w:rPr>
          <w:bCs w:val="0"/>
          <w:color w:val="000000"/>
        </w:rPr>
        <w:t xml:space="preserve">4.3 </w:t>
      </w:r>
      <w:r>
        <w:rPr>
          <w:rFonts w:hint="eastAsia"/>
          <w:bCs w:val="0"/>
          <w:color w:val="000000"/>
        </w:rPr>
        <w:t>投标文件的修改与撤回</w:t>
      </w:r>
      <w:bookmarkEnd w:id="38"/>
    </w:p>
    <w:p w14:paraId="66165A0B">
      <w:pPr>
        <w:spacing w:line="300" w:lineRule="auto"/>
        <w:ind w:firstLine="420" w:firstLineChars="200"/>
        <w:rPr>
          <w:rFonts w:ascii="Times New Roman" w:hAnsi="Times New Roman"/>
          <w:color w:val="000000"/>
        </w:rPr>
      </w:pPr>
      <w:r>
        <w:rPr>
          <w:rFonts w:ascii="Times New Roman" w:hAnsi="Times New Roman"/>
          <w:color w:val="000000"/>
        </w:rPr>
        <w:t xml:space="preserve">4.3.1 </w:t>
      </w:r>
      <w:r>
        <w:rPr>
          <w:rFonts w:hint="eastAsia" w:ascii="Times New Roman" w:hAnsi="Times New Roman"/>
          <w:color w:val="000000"/>
        </w:rPr>
        <w:t>在本章第</w:t>
      </w:r>
      <w:r>
        <w:rPr>
          <w:rFonts w:ascii="Times New Roman" w:hAnsi="Times New Roman"/>
          <w:color w:val="000000"/>
        </w:rPr>
        <w:t xml:space="preserve">2.2.2 </w:t>
      </w:r>
      <w:r>
        <w:rPr>
          <w:rFonts w:hint="eastAsia" w:ascii="Times New Roman" w:hAnsi="Times New Roman"/>
          <w:color w:val="000000"/>
        </w:rPr>
        <w:t>项规定的投标截止时间前，投标人可以修改或撤回已递交的投标文件，但应以书面形式通知招标人。</w:t>
      </w:r>
    </w:p>
    <w:p w14:paraId="028948D8">
      <w:pPr>
        <w:spacing w:line="300" w:lineRule="auto"/>
        <w:ind w:firstLine="420" w:firstLineChars="200"/>
        <w:rPr>
          <w:rFonts w:ascii="Times New Roman" w:hAnsi="Times New Roman"/>
          <w:color w:val="000000"/>
        </w:rPr>
      </w:pPr>
      <w:r>
        <w:rPr>
          <w:rFonts w:ascii="Times New Roman" w:hAnsi="Times New Roman"/>
          <w:color w:val="000000"/>
        </w:rPr>
        <w:t xml:space="preserve">4.3.2 </w:t>
      </w:r>
      <w:r>
        <w:rPr>
          <w:rFonts w:hint="eastAsia" w:ascii="Times New Roman" w:hAnsi="Times New Roman"/>
          <w:color w:val="000000"/>
        </w:rPr>
        <w:t>投标人修改或撤回已递交投标文件的书面通知应按照本章第</w:t>
      </w:r>
      <w:r>
        <w:rPr>
          <w:rFonts w:ascii="Times New Roman" w:hAnsi="Times New Roman"/>
          <w:color w:val="000000"/>
        </w:rPr>
        <w:t xml:space="preserve">3.7.3 </w:t>
      </w:r>
      <w:r>
        <w:rPr>
          <w:rFonts w:hint="eastAsia" w:ascii="Times New Roman" w:hAnsi="Times New Roman"/>
          <w:color w:val="000000"/>
        </w:rPr>
        <w:t>项的要求签字或盖章。招标人收到书面通知后，向投标人出具签收凭证。</w:t>
      </w:r>
    </w:p>
    <w:p w14:paraId="67BC28B5">
      <w:pPr>
        <w:spacing w:line="300" w:lineRule="auto"/>
        <w:ind w:firstLine="420" w:firstLineChars="200"/>
        <w:rPr>
          <w:rFonts w:ascii="Times New Roman" w:hAnsi="Times New Roman"/>
          <w:color w:val="000000"/>
        </w:rPr>
      </w:pPr>
      <w:r>
        <w:rPr>
          <w:rFonts w:ascii="Times New Roman" w:hAnsi="Times New Roman"/>
          <w:color w:val="000000"/>
        </w:rPr>
        <w:t xml:space="preserve">4.3.3 </w:t>
      </w:r>
      <w:r>
        <w:rPr>
          <w:rFonts w:hint="eastAsia" w:ascii="Times New Roman" w:hAnsi="Times New Roman"/>
          <w:color w:val="000000"/>
        </w:rPr>
        <w:t>修改的内容为投标文件的组成部分。修改的投标文件应按照本章第</w:t>
      </w:r>
      <w:r>
        <w:rPr>
          <w:rFonts w:ascii="Times New Roman" w:hAnsi="Times New Roman"/>
          <w:color w:val="000000"/>
        </w:rPr>
        <w:t xml:space="preserve">3 </w:t>
      </w:r>
      <w:r>
        <w:rPr>
          <w:rFonts w:hint="eastAsia" w:ascii="Times New Roman" w:hAnsi="Times New Roman"/>
          <w:color w:val="000000"/>
        </w:rPr>
        <w:t>条、第</w:t>
      </w:r>
      <w:r>
        <w:rPr>
          <w:rFonts w:ascii="Times New Roman" w:hAnsi="Times New Roman"/>
          <w:color w:val="000000"/>
        </w:rPr>
        <w:t xml:space="preserve">4 </w:t>
      </w:r>
      <w:r>
        <w:rPr>
          <w:rFonts w:hint="eastAsia" w:ascii="Times New Roman" w:hAnsi="Times New Roman"/>
          <w:color w:val="000000"/>
        </w:rPr>
        <w:t>条规定进行编制、密封、标记和递交，并标明</w:t>
      </w:r>
      <w:r>
        <w:rPr>
          <w:rFonts w:ascii="Times New Roman" w:hAnsi="Times New Roman"/>
          <w:color w:val="000000"/>
        </w:rPr>
        <w:t>“</w:t>
      </w:r>
      <w:r>
        <w:rPr>
          <w:rFonts w:hint="eastAsia" w:ascii="Times New Roman" w:hAnsi="Times New Roman"/>
          <w:color w:val="000000"/>
        </w:rPr>
        <w:t>修改</w:t>
      </w:r>
      <w:r>
        <w:rPr>
          <w:rFonts w:ascii="Times New Roman" w:hAnsi="Times New Roman"/>
          <w:color w:val="000000"/>
        </w:rPr>
        <w:t>”</w:t>
      </w:r>
      <w:r>
        <w:rPr>
          <w:rFonts w:hint="eastAsia" w:ascii="Times New Roman" w:hAnsi="Times New Roman"/>
          <w:color w:val="000000"/>
        </w:rPr>
        <w:t>字样。</w:t>
      </w:r>
    </w:p>
    <w:p w14:paraId="3872A855">
      <w:pPr>
        <w:pStyle w:val="161"/>
        <w:widowControl/>
        <w:spacing w:before="0" w:line="300" w:lineRule="auto"/>
        <w:rPr>
          <w:color w:val="000000"/>
          <w:sz w:val="30"/>
          <w:szCs w:val="30"/>
        </w:rPr>
      </w:pPr>
      <w:bookmarkStart w:id="39" w:name="_Toc24313"/>
      <w:r>
        <w:rPr>
          <w:color w:val="000000"/>
          <w:sz w:val="30"/>
          <w:szCs w:val="30"/>
        </w:rPr>
        <w:t xml:space="preserve">5. </w:t>
      </w:r>
      <w:r>
        <w:rPr>
          <w:rFonts w:hint="eastAsia"/>
          <w:color w:val="000000"/>
          <w:sz w:val="30"/>
          <w:szCs w:val="30"/>
        </w:rPr>
        <w:t>开标</w:t>
      </w:r>
      <w:bookmarkEnd w:id="39"/>
    </w:p>
    <w:p w14:paraId="21B0AA09">
      <w:pPr>
        <w:pStyle w:val="4"/>
        <w:widowControl/>
        <w:spacing w:before="0" w:after="0" w:line="300" w:lineRule="auto"/>
        <w:rPr>
          <w:rFonts w:hint="eastAsia"/>
          <w:bCs w:val="0"/>
          <w:color w:val="000000"/>
        </w:rPr>
      </w:pPr>
      <w:bookmarkStart w:id="40" w:name="_Toc20656"/>
      <w:r>
        <w:rPr>
          <w:bCs w:val="0"/>
          <w:color w:val="000000"/>
        </w:rPr>
        <w:t xml:space="preserve">5.1 </w:t>
      </w:r>
      <w:r>
        <w:rPr>
          <w:rFonts w:hint="eastAsia"/>
          <w:bCs w:val="0"/>
          <w:color w:val="000000"/>
        </w:rPr>
        <w:t>开标时间和地点</w:t>
      </w:r>
      <w:bookmarkEnd w:id="40"/>
    </w:p>
    <w:p w14:paraId="1177D6FE">
      <w:pPr>
        <w:pStyle w:val="4"/>
        <w:widowControl/>
        <w:spacing w:before="0" w:after="0" w:line="300" w:lineRule="auto"/>
        <w:ind w:firstLine="480" w:firstLineChars="200"/>
        <w:rPr>
          <w:rFonts w:hint="eastAsia"/>
          <w:bCs w:val="0"/>
          <w:color w:val="000000"/>
          <w:sz w:val="24"/>
          <w:szCs w:val="24"/>
        </w:rPr>
      </w:pPr>
      <w:bookmarkStart w:id="41" w:name="_Toc26788"/>
      <w:r>
        <w:rPr>
          <w:rFonts w:hint="eastAsia"/>
          <w:bCs w:val="0"/>
          <w:color w:val="000000"/>
          <w:sz w:val="24"/>
          <w:szCs w:val="24"/>
        </w:rPr>
        <w:t>招标人在投标人须知前附表规定的投标截止时间（开标时间）和地点公开开标。所有投标人的法定代表人（或其委托代理人）和拟选派项目负责人无需到达开标现场，本次开标采用网上开标方式。</w:t>
      </w:r>
      <w:bookmarkEnd w:id="41"/>
    </w:p>
    <w:p w14:paraId="3D7F78D5">
      <w:pPr>
        <w:pStyle w:val="4"/>
        <w:widowControl/>
        <w:spacing w:before="0" w:after="0" w:line="300" w:lineRule="auto"/>
        <w:rPr>
          <w:rFonts w:hint="eastAsia"/>
          <w:bCs w:val="0"/>
          <w:color w:val="000000"/>
        </w:rPr>
      </w:pPr>
      <w:bookmarkStart w:id="42" w:name="_Toc12720"/>
      <w:r>
        <w:rPr>
          <w:bCs w:val="0"/>
          <w:color w:val="000000"/>
        </w:rPr>
        <w:t xml:space="preserve">5.2 </w:t>
      </w:r>
      <w:r>
        <w:rPr>
          <w:rFonts w:hint="eastAsia"/>
          <w:bCs w:val="0"/>
          <w:color w:val="000000"/>
        </w:rPr>
        <w:t>开标程序</w:t>
      </w:r>
      <w:bookmarkEnd w:id="42"/>
    </w:p>
    <w:p w14:paraId="5E4B63CF">
      <w:pPr>
        <w:spacing w:line="300" w:lineRule="auto"/>
        <w:ind w:firstLine="420" w:firstLineChars="200"/>
        <w:rPr>
          <w:rFonts w:ascii="Times New Roman" w:hAnsi="Times New Roman"/>
          <w:color w:val="000000"/>
        </w:rPr>
      </w:pPr>
      <w:r>
        <w:rPr>
          <w:rFonts w:hint="eastAsia" w:ascii="Times New Roman" w:hAnsi="Times New Roman"/>
          <w:color w:val="000000"/>
        </w:rPr>
        <w:t>主持人按下列程序进行开标：</w:t>
      </w:r>
    </w:p>
    <w:p w14:paraId="0D40F3A3">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）宣布开标纪律。</w:t>
      </w:r>
    </w:p>
    <w:p w14:paraId="0FCF7C39">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）宣布投标单位和保证金交纳信息。</w:t>
      </w:r>
    </w:p>
    <w:p w14:paraId="25DD5F8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）推荐评标小组组长。</w:t>
      </w:r>
    </w:p>
    <w:p w14:paraId="38A6F9E4">
      <w:pPr>
        <w:spacing w:line="300" w:lineRule="auto"/>
        <w:ind w:firstLine="420" w:firstLineChars="200"/>
        <w:rPr>
          <w:rFonts w:hint="eastAsia" w:asciiTheme="minorEastAsia" w:hAnsiTheme="minorEastAsia"/>
          <w:sz w:val="24"/>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）初步评审（资格性审查）。</w:t>
      </w:r>
    </w:p>
    <w:p w14:paraId="78CD619D">
      <w:pPr>
        <w:pStyle w:val="18"/>
        <w:spacing w:after="0" w:line="360" w:lineRule="auto"/>
        <w:ind w:firstLine="400" w:firstLineChars="200"/>
        <w:rPr>
          <w:rFonts w:hint="eastAsia" w:asciiTheme="minorEastAsia" w:hAnsiTheme="minorEastAsia" w:eastAsiaTheme="minorEastAsia"/>
          <w:sz w:val="24"/>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w:t>
      </w:r>
      <w:r>
        <w:rPr>
          <w:rFonts w:hint="eastAsia" w:asciiTheme="minorEastAsia" w:hAnsiTheme="minorEastAsia" w:eastAsiaTheme="minorEastAsia"/>
          <w:sz w:val="24"/>
        </w:rPr>
        <w:t>澄清有关问题。</w:t>
      </w:r>
    </w:p>
    <w:p w14:paraId="7A26B04E">
      <w:pPr>
        <w:pStyle w:val="18"/>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（6）综合评审、打分。</w:t>
      </w:r>
    </w:p>
    <w:p w14:paraId="39468C4F">
      <w:pPr>
        <w:pStyle w:val="18"/>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（7）确定推荐中标候选人名单。</w:t>
      </w:r>
    </w:p>
    <w:p w14:paraId="628182CC">
      <w:pPr>
        <w:pStyle w:val="18"/>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（8）编写评审报告。</w:t>
      </w:r>
    </w:p>
    <w:p w14:paraId="1D83AC9F">
      <w:pPr>
        <w:pStyle w:val="18"/>
        <w:spacing w:after="0" w:line="360" w:lineRule="auto"/>
        <w:ind w:firstLine="420" w:firstLineChars="200"/>
      </w:pPr>
      <w:r>
        <w:rPr>
          <w:rFonts w:hint="eastAsia" w:ascii="Times New Roman" w:hAnsi="Times New Roman" w:eastAsia="等线"/>
          <w:color w:val="000000"/>
          <w:kern w:val="2"/>
          <w:sz w:val="21"/>
          <w:szCs w:val="22"/>
        </w:rPr>
        <w:t>（9）宣布评审结果。</w:t>
      </w:r>
    </w:p>
    <w:p w14:paraId="5F820170">
      <w:pPr>
        <w:keepNext/>
        <w:keepLines/>
        <w:spacing w:line="300" w:lineRule="auto"/>
        <w:outlineLvl w:val="1"/>
        <w:rPr>
          <w:rFonts w:ascii="Times New Roman" w:hAnsi="Times New Roman" w:eastAsia="黑体"/>
          <w:color w:val="000000"/>
          <w:sz w:val="30"/>
          <w:szCs w:val="30"/>
        </w:rPr>
      </w:pPr>
      <w:bookmarkStart w:id="43" w:name="_Toc23365"/>
      <w:r>
        <w:rPr>
          <w:rFonts w:ascii="Times New Roman" w:hAnsi="Times New Roman" w:eastAsia="黑体"/>
          <w:color w:val="000000"/>
          <w:sz w:val="30"/>
          <w:szCs w:val="30"/>
        </w:rPr>
        <w:t xml:space="preserve">6. </w:t>
      </w:r>
      <w:r>
        <w:rPr>
          <w:rFonts w:hint="eastAsia" w:ascii="Times New Roman" w:hAnsi="Times New Roman" w:eastAsia="黑体"/>
          <w:color w:val="000000"/>
          <w:sz w:val="30"/>
          <w:szCs w:val="30"/>
        </w:rPr>
        <w:t>评标</w:t>
      </w:r>
      <w:bookmarkEnd w:id="43"/>
    </w:p>
    <w:p w14:paraId="197E0FF0">
      <w:pPr>
        <w:spacing w:line="300" w:lineRule="auto"/>
        <w:ind w:firstLine="420" w:firstLineChars="200"/>
        <w:rPr>
          <w:rFonts w:ascii="Times New Roman" w:hAnsi="Times New Roman"/>
          <w:color w:val="000000"/>
        </w:rPr>
      </w:pPr>
      <w:r>
        <w:rPr>
          <w:rFonts w:hint="eastAsia" w:ascii="Times New Roman" w:hAnsi="Times New Roman"/>
          <w:color w:val="000000"/>
        </w:rPr>
        <w:t>评标按下列程序进行：</w:t>
      </w:r>
    </w:p>
    <w:p w14:paraId="1436336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）组建评标委员会；</w:t>
      </w:r>
    </w:p>
    <w:p w14:paraId="7E5E6EE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）评标准备工作，评标委员会成员熟悉招标文件等相关文件资料；</w:t>
      </w:r>
    </w:p>
    <w:p w14:paraId="07D24DA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）初步评审；</w:t>
      </w:r>
    </w:p>
    <w:p w14:paraId="29F97AC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）详细评审；</w:t>
      </w:r>
    </w:p>
    <w:p w14:paraId="62E8C55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）向招标人提交书面评标报告。</w:t>
      </w:r>
    </w:p>
    <w:p w14:paraId="16E87826">
      <w:pPr>
        <w:spacing w:line="300" w:lineRule="auto"/>
        <w:ind w:firstLine="420" w:firstLineChars="200"/>
        <w:rPr>
          <w:rFonts w:ascii="Times New Roman" w:hAnsi="Times New Roman"/>
          <w:color w:val="000000"/>
        </w:rPr>
      </w:pPr>
      <w:r>
        <w:rPr>
          <w:rFonts w:hint="eastAsia" w:ascii="Times New Roman" w:hAnsi="Times New Roman"/>
          <w:color w:val="000000"/>
        </w:rPr>
        <w:t>评标活动遵循公平、公正、科学和择优的原则。</w:t>
      </w:r>
    </w:p>
    <w:p w14:paraId="6F560AD7">
      <w:pPr>
        <w:keepNext/>
        <w:keepLines/>
        <w:spacing w:line="300" w:lineRule="auto"/>
        <w:outlineLvl w:val="2"/>
        <w:rPr>
          <w:rFonts w:ascii="Times New Roman" w:hAnsi="Times New Roman" w:eastAsia="黑体"/>
          <w:bCs/>
          <w:color w:val="000000"/>
          <w:sz w:val="28"/>
          <w:szCs w:val="28"/>
        </w:rPr>
      </w:pPr>
      <w:bookmarkStart w:id="44" w:name="_Toc27143"/>
      <w:r>
        <w:rPr>
          <w:rFonts w:ascii="Times New Roman" w:hAnsi="Times New Roman" w:eastAsia="黑体"/>
          <w:bCs/>
          <w:color w:val="000000"/>
          <w:sz w:val="28"/>
          <w:szCs w:val="28"/>
        </w:rPr>
        <w:t xml:space="preserve">6.1 </w:t>
      </w:r>
      <w:r>
        <w:rPr>
          <w:rFonts w:hint="eastAsia" w:ascii="Times New Roman" w:hAnsi="Times New Roman" w:eastAsia="黑体"/>
          <w:bCs/>
          <w:color w:val="000000"/>
          <w:sz w:val="28"/>
          <w:szCs w:val="28"/>
        </w:rPr>
        <w:t>组建评标委员会</w:t>
      </w:r>
      <w:bookmarkEnd w:id="44"/>
    </w:p>
    <w:p w14:paraId="52EACD6B">
      <w:pPr>
        <w:spacing w:line="300" w:lineRule="auto"/>
        <w:ind w:firstLine="420" w:firstLineChars="200"/>
        <w:rPr>
          <w:rFonts w:ascii="Times New Roman" w:hAnsi="Times New Roman"/>
          <w:color w:val="000000"/>
        </w:rPr>
      </w:pPr>
      <w:r>
        <w:rPr>
          <w:rFonts w:ascii="Times New Roman" w:hAnsi="Times New Roman"/>
          <w:color w:val="000000"/>
        </w:rPr>
        <w:t>6.1.1</w:t>
      </w:r>
      <w:r>
        <w:rPr>
          <w:rFonts w:hint="eastAsia" w:ascii="Times New Roman" w:hAnsi="Times New Roman"/>
          <w:color w:val="000000"/>
        </w:rPr>
        <w:t>评标委员会由招标人依法组建，一般由招标人的代表和有关技术、经济等方面的专家组成。评标委员会中招标人的代表应当具备法律、法规和规章规定的评标专家条件。无符合条件人选的，从评标专家库中随机抽取。</w:t>
      </w:r>
    </w:p>
    <w:p w14:paraId="14D770B1">
      <w:pPr>
        <w:spacing w:line="300" w:lineRule="auto"/>
        <w:ind w:firstLine="420" w:firstLineChars="200"/>
        <w:rPr>
          <w:rFonts w:ascii="Times New Roman" w:hAnsi="Times New Roman"/>
          <w:color w:val="000000"/>
        </w:rPr>
      </w:pPr>
      <w:r>
        <w:rPr>
          <w:rFonts w:ascii="Times New Roman" w:hAnsi="Times New Roman"/>
          <w:color w:val="000000"/>
        </w:rPr>
        <w:t>6.1.2</w:t>
      </w:r>
      <w:r>
        <w:rPr>
          <w:rFonts w:hint="eastAsia" w:ascii="Times New Roman" w:hAnsi="Times New Roman"/>
          <w:color w:val="000000"/>
        </w:rPr>
        <w:t>评标委员会成员有下列情形之一的，应当回避：</w:t>
      </w:r>
    </w:p>
    <w:p w14:paraId="280B029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）招标人或投标人的主要负责人的近亲属；</w:t>
      </w:r>
    </w:p>
    <w:p w14:paraId="496EBE2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）与投标人有经济利益关系，可能影响对投标公正评审的；</w:t>
      </w:r>
    </w:p>
    <w:p w14:paraId="3881EEE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）曾因在招标、评标以及其他与招标投标有关活动中从事违法行为而受过行政处罚或刑事处罚的。</w:t>
      </w:r>
    </w:p>
    <w:p w14:paraId="6BB7F79A">
      <w:pPr>
        <w:keepNext/>
        <w:keepLines/>
        <w:spacing w:line="300" w:lineRule="auto"/>
        <w:outlineLvl w:val="2"/>
        <w:rPr>
          <w:rFonts w:ascii="Times New Roman" w:hAnsi="Times New Roman" w:eastAsia="黑体"/>
          <w:bCs/>
          <w:color w:val="000000"/>
          <w:sz w:val="28"/>
          <w:szCs w:val="28"/>
        </w:rPr>
      </w:pPr>
      <w:bookmarkStart w:id="45" w:name="_Toc3632"/>
      <w:r>
        <w:rPr>
          <w:rFonts w:ascii="Times New Roman" w:hAnsi="Times New Roman" w:eastAsia="黑体"/>
          <w:bCs/>
          <w:color w:val="000000"/>
          <w:sz w:val="28"/>
          <w:szCs w:val="28"/>
        </w:rPr>
        <w:t xml:space="preserve">6.2 </w:t>
      </w:r>
      <w:r>
        <w:rPr>
          <w:rFonts w:hint="eastAsia" w:ascii="Times New Roman" w:hAnsi="Times New Roman" w:eastAsia="黑体"/>
          <w:bCs/>
          <w:color w:val="000000"/>
          <w:sz w:val="28"/>
          <w:szCs w:val="28"/>
        </w:rPr>
        <w:t>评标准备</w:t>
      </w:r>
      <w:bookmarkEnd w:id="45"/>
    </w:p>
    <w:p w14:paraId="0BA2B24E">
      <w:pPr>
        <w:spacing w:line="300" w:lineRule="auto"/>
        <w:ind w:firstLine="420" w:firstLineChars="200"/>
        <w:rPr>
          <w:rFonts w:ascii="Times New Roman" w:hAnsi="Times New Roman"/>
          <w:color w:val="000000"/>
        </w:rPr>
      </w:pPr>
      <w:r>
        <w:rPr>
          <w:rFonts w:ascii="Times New Roman" w:hAnsi="Times New Roman"/>
          <w:color w:val="000000"/>
        </w:rPr>
        <w:t>6.2.1</w:t>
      </w:r>
      <w:r>
        <w:rPr>
          <w:rFonts w:hint="eastAsia" w:ascii="Times New Roman" w:hAnsi="Times New Roman"/>
          <w:color w:val="000000"/>
        </w:rPr>
        <w:t>评标委员会成员签到</w:t>
      </w:r>
    </w:p>
    <w:p w14:paraId="7B9F086A">
      <w:pPr>
        <w:spacing w:line="300" w:lineRule="auto"/>
        <w:ind w:firstLine="420" w:firstLineChars="200"/>
        <w:rPr>
          <w:rFonts w:ascii="Times New Roman" w:hAnsi="Times New Roman"/>
          <w:color w:val="000000"/>
        </w:rPr>
      </w:pPr>
      <w:r>
        <w:rPr>
          <w:rFonts w:hint="eastAsia" w:ascii="Times New Roman" w:hAnsi="Times New Roman"/>
          <w:color w:val="000000"/>
        </w:rPr>
        <w:t>评标委员会成员到达评标现场时应在签到表上签到以证明其出席。</w:t>
      </w:r>
    </w:p>
    <w:p w14:paraId="1F12BF8C">
      <w:pPr>
        <w:spacing w:line="300" w:lineRule="auto"/>
        <w:ind w:firstLine="420" w:firstLineChars="200"/>
        <w:rPr>
          <w:rFonts w:ascii="Times New Roman" w:hAnsi="Times New Roman"/>
          <w:color w:val="000000"/>
        </w:rPr>
      </w:pPr>
      <w:r>
        <w:rPr>
          <w:rFonts w:ascii="Times New Roman" w:hAnsi="Times New Roman"/>
          <w:color w:val="000000"/>
        </w:rPr>
        <w:t>6.2.2</w:t>
      </w:r>
      <w:r>
        <w:rPr>
          <w:rFonts w:hint="eastAsia" w:ascii="Times New Roman" w:hAnsi="Times New Roman"/>
          <w:color w:val="000000"/>
        </w:rPr>
        <w:t>评标委员会的分工</w:t>
      </w:r>
    </w:p>
    <w:p w14:paraId="2D4B2D36">
      <w:pPr>
        <w:spacing w:line="300" w:lineRule="auto"/>
        <w:ind w:firstLine="420" w:firstLineChars="200"/>
        <w:rPr>
          <w:rFonts w:ascii="Times New Roman" w:hAnsi="Times New Roman"/>
          <w:color w:val="000000"/>
        </w:rPr>
      </w:pPr>
      <w:r>
        <w:rPr>
          <w:rFonts w:hint="eastAsia" w:ascii="Times New Roman" w:hAnsi="Times New Roman"/>
          <w:color w:val="000000"/>
        </w:rPr>
        <w:t>评标委员会应推选一名评标委员会主任，负责主持评标会议，评标委员会主任原则上由招标人代表担任。评标委员会主任在与其他评标委员会成员协商的基础上，可以将评标委员会划分为技术组和商务组。</w:t>
      </w:r>
    </w:p>
    <w:p w14:paraId="381231CE">
      <w:pPr>
        <w:spacing w:line="300" w:lineRule="auto"/>
        <w:ind w:firstLine="420" w:firstLineChars="200"/>
        <w:rPr>
          <w:rFonts w:ascii="Times New Roman" w:hAnsi="Times New Roman"/>
          <w:color w:val="000000"/>
        </w:rPr>
      </w:pPr>
      <w:r>
        <w:rPr>
          <w:rFonts w:ascii="Times New Roman" w:hAnsi="Times New Roman"/>
          <w:color w:val="000000"/>
        </w:rPr>
        <w:t>6.2.3</w:t>
      </w:r>
      <w:r>
        <w:rPr>
          <w:rFonts w:hint="eastAsia" w:ascii="Times New Roman" w:hAnsi="Times New Roman"/>
          <w:color w:val="000000"/>
        </w:rPr>
        <w:t>熟悉文件资料</w:t>
      </w:r>
    </w:p>
    <w:p w14:paraId="2D0D86B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评标委员会成员认真研究招标文件，了解和熟悉招标目的、招标范围、主要合同条件、质量标准和工期要求等，掌握评标标准和方法，熟悉本章及附件中包括的评标表格的使用。未在招标文件中规定的标准和方法不得作为评标的依据。</w:t>
      </w:r>
    </w:p>
    <w:p w14:paraId="7AF64DB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）招标人或招标代理机构应向评标委员会提供评标所需的信息和数据，包括招标文件、投标文件、开标会记录以及评标委员会认为必要的其他信息和数据。</w:t>
      </w:r>
    </w:p>
    <w:p w14:paraId="5610052D">
      <w:pPr>
        <w:keepNext/>
        <w:keepLines/>
        <w:spacing w:line="300" w:lineRule="auto"/>
        <w:outlineLvl w:val="2"/>
        <w:rPr>
          <w:rFonts w:ascii="Times New Roman" w:hAnsi="Times New Roman" w:eastAsia="黑体"/>
          <w:bCs/>
          <w:color w:val="000000"/>
          <w:sz w:val="28"/>
          <w:szCs w:val="28"/>
        </w:rPr>
      </w:pPr>
      <w:bookmarkStart w:id="46" w:name="_Toc6037"/>
      <w:r>
        <w:rPr>
          <w:rFonts w:ascii="Times New Roman" w:hAnsi="Times New Roman" w:eastAsia="黑体"/>
          <w:bCs/>
          <w:color w:val="000000"/>
          <w:sz w:val="28"/>
          <w:szCs w:val="28"/>
        </w:rPr>
        <w:t xml:space="preserve">6.3 </w:t>
      </w:r>
      <w:r>
        <w:rPr>
          <w:rFonts w:hint="eastAsia" w:ascii="Times New Roman" w:hAnsi="Times New Roman" w:eastAsia="黑体"/>
          <w:bCs/>
          <w:color w:val="000000"/>
          <w:sz w:val="28"/>
          <w:szCs w:val="28"/>
        </w:rPr>
        <w:t>初步评审</w:t>
      </w:r>
      <w:bookmarkEnd w:id="46"/>
    </w:p>
    <w:p w14:paraId="3FA362E5">
      <w:pPr>
        <w:spacing w:line="300" w:lineRule="auto"/>
        <w:ind w:firstLine="420" w:firstLineChars="200"/>
        <w:rPr>
          <w:rFonts w:ascii="Times New Roman" w:hAnsi="Times New Roman"/>
          <w:color w:val="000000"/>
        </w:rPr>
      </w:pPr>
      <w:r>
        <w:rPr>
          <w:rFonts w:ascii="Times New Roman" w:hAnsi="Times New Roman"/>
          <w:color w:val="000000"/>
        </w:rPr>
        <w:t>6.3.1</w:t>
      </w:r>
      <w:r>
        <w:rPr>
          <w:rFonts w:hint="eastAsia" w:ascii="Times New Roman" w:hAnsi="Times New Roman"/>
          <w:color w:val="000000"/>
        </w:rPr>
        <w:t>评标委员会按照下列程序对投标文件进行初步评审：</w:t>
      </w:r>
    </w:p>
    <w:p w14:paraId="7A15B2F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）形式评审，具体详见评分办法前附表；</w:t>
      </w:r>
    </w:p>
    <w:p w14:paraId="2D7FD4B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）资格评审，具体详见评分办法前附表；</w:t>
      </w:r>
    </w:p>
    <w:p w14:paraId="1C11789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）响应性评审，具体详见评分办法前附表；</w:t>
      </w:r>
    </w:p>
    <w:p w14:paraId="654BB3C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）判断其投标是否被否决；</w:t>
      </w:r>
    </w:p>
    <w:p w14:paraId="243C0C3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）投标报价的修正；</w:t>
      </w:r>
    </w:p>
    <w:p w14:paraId="2EAC912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）投标文件的澄清、说明或补正；</w:t>
      </w:r>
    </w:p>
    <w:p w14:paraId="2D49B82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）汇总初步评审结果，确定进入详细评审阶段的投标人名单。</w:t>
      </w:r>
    </w:p>
    <w:p w14:paraId="002B4781">
      <w:pPr>
        <w:spacing w:line="300" w:lineRule="auto"/>
        <w:ind w:firstLine="420" w:firstLineChars="200"/>
        <w:rPr>
          <w:rFonts w:ascii="Times New Roman" w:hAnsi="Times New Roman"/>
          <w:color w:val="000000"/>
        </w:rPr>
      </w:pPr>
      <w:r>
        <w:rPr>
          <w:rFonts w:ascii="Times New Roman" w:hAnsi="Times New Roman"/>
          <w:color w:val="000000"/>
        </w:rPr>
        <w:t>6.3.2</w:t>
      </w:r>
      <w:r>
        <w:rPr>
          <w:rFonts w:hint="eastAsia" w:ascii="Times New Roman" w:hAnsi="Times New Roman"/>
          <w:color w:val="000000"/>
        </w:rPr>
        <w:t>判断其投标是否被否决</w:t>
      </w:r>
    </w:p>
    <w:p w14:paraId="1762D956">
      <w:pPr>
        <w:spacing w:line="300" w:lineRule="auto"/>
        <w:ind w:firstLine="420" w:firstLineChars="200"/>
        <w:rPr>
          <w:rFonts w:ascii="Times New Roman" w:hAnsi="Times New Roman"/>
          <w:color w:val="000000"/>
        </w:rPr>
      </w:pPr>
      <w:r>
        <w:rPr>
          <w:rFonts w:hint="eastAsia" w:ascii="Times New Roman" w:hAnsi="Times New Roman"/>
          <w:color w:val="000000"/>
        </w:rPr>
        <w:t>投标文件有下列情形之一的，评标委员会将否决其投标：</w:t>
      </w:r>
    </w:p>
    <w:p w14:paraId="463877E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）有第二章</w:t>
      </w:r>
      <w:r>
        <w:rPr>
          <w:rFonts w:ascii="Times New Roman" w:hAnsi="Times New Roman"/>
          <w:color w:val="000000"/>
        </w:rPr>
        <w:t>“</w:t>
      </w:r>
      <w:r>
        <w:rPr>
          <w:rFonts w:hint="eastAsia" w:ascii="Times New Roman" w:hAnsi="Times New Roman"/>
          <w:color w:val="000000"/>
        </w:rPr>
        <w:t>投标人须知</w:t>
      </w:r>
      <w:r>
        <w:rPr>
          <w:rFonts w:ascii="Times New Roman" w:hAnsi="Times New Roman"/>
          <w:color w:val="000000"/>
        </w:rPr>
        <w:t>”</w:t>
      </w:r>
      <w:r>
        <w:rPr>
          <w:rFonts w:hint="eastAsia" w:ascii="Times New Roman" w:hAnsi="Times New Roman"/>
          <w:color w:val="000000"/>
        </w:rPr>
        <w:t>第</w:t>
      </w:r>
      <w:r>
        <w:rPr>
          <w:rFonts w:ascii="Times New Roman" w:hAnsi="Times New Roman"/>
          <w:color w:val="000000"/>
        </w:rPr>
        <w:t>1.4.3</w:t>
      </w:r>
      <w:r>
        <w:rPr>
          <w:rFonts w:hint="eastAsia" w:ascii="Times New Roman" w:hAnsi="Times New Roman"/>
          <w:color w:val="000000"/>
        </w:rPr>
        <w:t>项规定的任何一种情形的；</w:t>
      </w:r>
    </w:p>
    <w:p w14:paraId="7F5DDCC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）有串通投标或弄虚作假或有其他违法行为的；</w:t>
      </w:r>
    </w:p>
    <w:p w14:paraId="4EEC93B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）不按评标委员会要求澄清、说明或补正的；</w:t>
      </w:r>
    </w:p>
    <w:p w14:paraId="64ECAFD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）在形式评审、资格评审、响应性评审中，评标委员会认定投标人的投标不符合评标办法前附表中规定的任何一项评审标准的；</w:t>
      </w:r>
    </w:p>
    <w:p w14:paraId="6721F649">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）在施工组织设计和项目管理机构评审中，评标委员会认定投标人的投标未能通过此项评审的；</w:t>
      </w:r>
    </w:p>
    <w:p w14:paraId="1CF2370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）评标委员会认定投标人以低于成本报价竞标的；</w:t>
      </w:r>
    </w:p>
    <w:p w14:paraId="133689C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）投标人未按第二章</w:t>
      </w:r>
      <w:r>
        <w:rPr>
          <w:rFonts w:ascii="Times New Roman" w:hAnsi="Times New Roman"/>
          <w:color w:val="000000"/>
        </w:rPr>
        <w:t>“</w:t>
      </w:r>
      <w:r>
        <w:rPr>
          <w:rFonts w:hint="eastAsia" w:ascii="Times New Roman" w:hAnsi="Times New Roman"/>
          <w:color w:val="000000"/>
        </w:rPr>
        <w:t>投标人须知</w:t>
      </w:r>
      <w:r>
        <w:rPr>
          <w:rFonts w:ascii="Times New Roman" w:hAnsi="Times New Roman"/>
          <w:color w:val="000000"/>
        </w:rPr>
        <w:t>”</w:t>
      </w:r>
      <w:r>
        <w:rPr>
          <w:rFonts w:hint="eastAsia" w:ascii="Times New Roman" w:hAnsi="Times New Roman"/>
          <w:color w:val="000000"/>
        </w:rPr>
        <w:t>第</w:t>
      </w:r>
      <w:r>
        <w:rPr>
          <w:rFonts w:ascii="Times New Roman" w:hAnsi="Times New Roman"/>
          <w:color w:val="000000"/>
        </w:rPr>
        <w:t>5.1</w:t>
      </w:r>
      <w:r>
        <w:rPr>
          <w:rFonts w:hint="eastAsia" w:ascii="Times New Roman" w:hAnsi="Times New Roman"/>
          <w:color w:val="000000"/>
        </w:rPr>
        <w:t>款规定出席开标会的；</w:t>
      </w:r>
    </w:p>
    <w:p w14:paraId="2E4F3BA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）明显不符合招标文件规定的技术要求和标准的；</w:t>
      </w:r>
    </w:p>
    <w:p w14:paraId="30B14D2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9</w:t>
      </w:r>
      <w:r>
        <w:rPr>
          <w:rFonts w:hint="eastAsia" w:ascii="Times New Roman" w:hAnsi="Times New Roman"/>
          <w:color w:val="000000"/>
        </w:rPr>
        <w:t>）投标人递交两份或多份内容不同的投标文件，或在同一投标文件中对同一招标项目报有两个或多个报价，且未声明哪个有效的；</w:t>
      </w:r>
    </w:p>
    <w:p w14:paraId="1CE92A2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10</w:t>
      </w:r>
      <w:r>
        <w:rPr>
          <w:rFonts w:hint="eastAsia" w:ascii="Times New Roman" w:hAnsi="Times New Roman"/>
          <w:color w:val="000000"/>
        </w:rPr>
        <w:t>）投标文件出现招标人名称、项目名称、技术参数等与招标文件相关内容严重不一致的；</w:t>
      </w:r>
    </w:p>
    <w:p w14:paraId="38021BD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11</w:t>
      </w:r>
      <w:r>
        <w:rPr>
          <w:rFonts w:hint="eastAsia" w:ascii="Times New Roman" w:hAnsi="Times New Roman"/>
          <w:color w:val="000000"/>
        </w:rPr>
        <w:t>）不符合招标文件中规定的其他实质性要求的。</w:t>
      </w:r>
    </w:p>
    <w:p w14:paraId="43F2D781">
      <w:pPr>
        <w:spacing w:line="300" w:lineRule="auto"/>
        <w:ind w:firstLine="420" w:firstLineChars="200"/>
        <w:rPr>
          <w:rFonts w:ascii="Times New Roman" w:hAnsi="Times New Roman"/>
          <w:color w:val="000000"/>
        </w:rPr>
      </w:pPr>
      <w:r>
        <w:rPr>
          <w:rFonts w:ascii="Times New Roman" w:hAnsi="Times New Roman"/>
          <w:color w:val="000000"/>
        </w:rPr>
        <w:t xml:space="preserve">6.3.3 </w:t>
      </w:r>
      <w:r>
        <w:rPr>
          <w:rFonts w:hint="eastAsia" w:ascii="Times New Roman" w:hAnsi="Times New Roman"/>
          <w:color w:val="000000"/>
        </w:rPr>
        <w:t>有下列情形之一的，视为串通投标，评标委员会将否决其投标：</w:t>
      </w:r>
    </w:p>
    <w:p w14:paraId="564245E1">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）不同投标人的投标文件由同一单位或者个人编制；</w:t>
      </w:r>
    </w:p>
    <w:p w14:paraId="477FB6A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）不同投标人委托同一单位或者个人办理投标事宜；</w:t>
      </w:r>
    </w:p>
    <w:p w14:paraId="098F36C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）不同投标人的投标文件载明的项目管理成员为同一人；</w:t>
      </w:r>
    </w:p>
    <w:p w14:paraId="563551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）不同投标人的投标文件异常一致或者投标报价呈规律性差异；</w:t>
      </w:r>
    </w:p>
    <w:p w14:paraId="568EFED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）不同投标人的投标文件相互混装；</w:t>
      </w:r>
    </w:p>
    <w:p w14:paraId="46D30C6B">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）不同投标人的投标保证金从同一单位或者个人的账户转出；</w:t>
      </w:r>
    </w:p>
    <w:p w14:paraId="299032F3">
      <w:pPr>
        <w:spacing w:line="300" w:lineRule="auto"/>
        <w:ind w:left="420" w:left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）不同投标人的投标文件由同一台电脑或同一电子签名认证证书编制或上传的；</w:t>
      </w:r>
    </w:p>
    <w:p w14:paraId="1BFF5219">
      <w:pPr>
        <w:spacing w:line="300" w:lineRule="auto"/>
        <w:ind w:left="420" w:left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）法律法规文件规定的其他情形。</w:t>
      </w:r>
    </w:p>
    <w:p w14:paraId="2CFD36F1">
      <w:pPr>
        <w:spacing w:line="300" w:lineRule="auto"/>
        <w:ind w:firstLine="420" w:firstLineChars="200"/>
        <w:rPr>
          <w:rFonts w:ascii="Times New Roman" w:hAnsi="Times New Roman"/>
          <w:color w:val="000000"/>
        </w:rPr>
      </w:pPr>
      <w:r>
        <w:rPr>
          <w:rFonts w:ascii="Times New Roman" w:hAnsi="Times New Roman"/>
          <w:color w:val="000000"/>
        </w:rPr>
        <w:t xml:space="preserve">6.3.4 </w:t>
      </w:r>
      <w:r>
        <w:rPr>
          <w:rFonts w:hint="eastAsia" w:ascii="Times New Roman" w:hAnsi="Times New Roman"/>
          <w:color w:val="000000"/>
        </w:rPr>
        <w:t>投标报价的修正</w:t>
      </w:r>
    </w:p>
    <w:p w14:paraId="09317553">
      <w:pPr>
        <w:spacing w:line="300" w:lineRule="auto"/>
        <w:ind w:firstLine="420" w:firstLineChars="200"/>
        <w:rPr>
          <w:rFonts w:ascii="Times New Roman" w:hAnsi="Times New Roman"/>
          <w:color w:val="000000"/>
        </w:rPr>
      </w:pPr>
      <w:r>
        <w:rPr>
          <w:rFonts w:hint="eastAsia" w:ascii="Times New Roman" w:hAnsi="Times New Roman"/>
          <w:color w:val="000000"/>
        </w:rPr>
        <w:t>投标报价有计算错误的，评标委员会按以下原则对投标报价进行修正，修正的价格经投标人书面确认后具有约束力。其具体内容为：</w:t>
      </w:r>
    </w:p>
    <w:p w14:paraId="496EA65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）投标文件中大写金额和小写金额不一致的，以大写金额为准；</w:t>
      </w:r>
    </w:p>
    <w:p w14:paraId="34F0A33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）投标文件中填报的投标报价、工期、工程质量标准等内容前后不一致时，以投标函填报的为准。</w:t>
      </w:r>
    </w:p>
    <w:p w14:paraId="0EB12F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）若投标文件出现偏差，投标人应按上述修正原则进行修正，投标人法定代表人或法定代表人的委托代理人须现场书面确认。</w:t>
      </w:r>
    </w:p>
    <w:p w14:paraId="3E826F69">
      <w:pPr>
        <w:spacing w:line="300" w:lineRule="auto"/>
        <w:ind w:firstLine="420" w:firstLineChars="200"/>
        <w:rPr>
          <w:rFonts w:ascii="Times New Roman" w:hAnsi="Times New Roman"/>
          <w:color w:val="000000"/>
        </w:rPr>
      </w:pPr>
      <w:r>
        <w:rPr>
          <w:rFonts w:hint="eastAsia" w:ascii="Times New Roman" w:hAnsi="Times New Roman"/>
          <w:color w:val="000000"/>
        </w:rPr>
        <w:t>投标人的投标报价存在算术性计算错误的，评标委员会将否决其投标。</w:t>
      </w:r>
    </w:p>
    <w:p w14:paraId="2CF8D6A1">
      <w:pPr>
        <w:spacing w:line="300" w:lineRule="auto"/>
        <w:ind w:firstLine="420" w:firstLineChars="200"/>
        <w:rPr>
          <w:rFonts w:ascii="Times New Roman" w:hAnsi="Times New Roman"/>
          <w:color w:val="000000"/>
        </w:rPr>
      </w:pPr>
      <w:r>
        <w:rPr>
          <w:rFonts w:ascii="Times New Roman" w:hAnsi="Times New Roman"/>
          <w:color w:val="000000"/>
        </w:rPr>
        <w:t xml:space="preserve">6.3.5 </w:t>
      </w:r>
      <w:r>
        <w:rPr>
          <w:rFonts w:hint="eastAsia" w:ascii="Times New Roman" w:hAnsi="Times New Roman"/>
          <w:color w:val="000000"/>
        </w:rPr>
        <w:t>投标文件的澄清、说明或补正</w:t>
      </w:r>
    </w:p>
    <w:p w14:paraId="614E9CE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）在评标过程中，评标委员会可以书面形式要求投标人对所提交投标文件中不明确的内容进行书面澄清或说明，或者对细微偏差进行补正。评标委员会不接受投标人主动提出的澄清、说明或补正。</w:t>
      </w:r>
    </w:p>
    <w:p w14:paraId="1FE62F8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）澄清、说明或补正不得改变投标文件的实质性内容（算术性错误修正的除外）。投标人的书面澄清、说明或补正属于投标文件的组成部分。</w:t>
      </w:r>
    </w:p>
    <w:p w14:paraId="5CB9E6D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）评标委员会对投标人提交的澄清、说明或补正有疑问的，可以要求投标人进一步澄清、说明或补正，直至满足评标委员会的要求。</w:t>
      </w:r>
    </w:p>
    <w:p w14:paraId="62D9CB0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在评标过程中，评标委员会发现投标人的报价可能低于其个别成本的，应当要求该投标人作出书面说明并提供相关证明材料。投标人不能合理说明或者不能提供相关证明材料的，由评标委员会认定该投标人以低于成本报价竞标，应当否决其投标。评标委员会认定意见不一致时，采用投票表决方式认定。</w:t>
      </w:r>
    </w:p>
    <w:p w14:paraId="584EAE39">
      <w:pPr>
        <w:pStyle w:val="12"/>
        <w:spacing w:line="300" w:lineRule="auto"/>
        <w:rPr>
          <w:color w:val="000000"/>
        </w:rPr>
      </w:pPr>
      <w:r>
        <w:rPr>
          <w:rFonts w:hint="eastAsia"/>
          <w:color w:val="000000"/>
        </w:rPr>
        <w:t>（</w:t>
      </w:r>
      <w:r>
        <w:rPr>
          <w:color w:val="000000"/>
        </w:rPr>
        <w:t>5</w:t>
      </w:r>
      <w:r>
        <w:rPr>
          <w:rFonts w:hint="eastAsia"/>
          <w:color w:val="000000"/>
        </w:rPr>
        <w:t>）不按评标委员会要求澄清、说明或补正的，评标委员会将否决其投标。</w:t>
      </w:r>
    </w:p>
    <w:p w14:paraId="5D7EA303">
      <w:pPr>
        <w:pStyle w:val="12"/>
        <w:spacing w:line="300" w:lineRule="auto"/>
        <w:rPr>
          <w:color w:val="000000"/>
        </w:rPr>
      </w:pPr>
      <w:r>
        <w:rPr>
          <w:color w:val="000000"/>
        </w:rPr>
        <w:t xml:space="preserve">6.3.6 </w:t>
      </w:r>
      <w:r>
        <w:rPr>
          <w:rFonts w:hint="eastAsia"/>
          <w:color w:val="000000"/>
        </w:rPr>
        <w:t>经初步评审，评标委员会认定投标人的投标不合格、被否决、认定为废标的投标不再进入详细评审阶段。</w:t>
      </w:r>
    </w:p>
    <w:p w14:paraId="5E408FEA">
      <w:pPr>
        <w:pStyle w:val="12"/>
        <w:spacing w:line="300" w:lineRule="auto"/>
        <w:rPr>
          <w:color w:val="000000"/>
        </w:rPr>
      </w:pPr>
      <w:r>
        <w:rPr>
          <w:color w:val="000000"/>
        </w:rPr>
        <w:t xml:space="preserve">6.3.7 </w:t>
      </w:r>
      <w:r>
        <w:rPr>
          <w:rFonts w:hint="eastAsia"/>
          <w:color w:val="000000"/>
        </w:rPr>
        <w:t>在符合性审查和商务评议时，如发现下列情形之一的，投标文件将被视为无效投标：</w:t>
      </w:r>
    </w:p>
    <w:p w14:paraId="6DDDFE70">
      <w:pPr>
        <w:pStyle w:val="12"/>
        <w:spacing w:line="300" w:lineRule="auto"/>
        <w:rPr>
          <w:color w:val="000000"/>
        </w:rPr>
      </w:pPr>
      <w:r>
        <w:rPr>
          <w:color w:val="000000"/>
        </w:rPr>
        <w:t>6.3.7.1</w:t>
      </w:r>
      <w:r>
        <w:rPr>
          <w:rFonts w:hint="eastAsia"/>
          <w:color w:val="000000"/>
        </w:rPr>
        <w:t>未按规定交纳标书费的；</w:t>
      </w:r>
    </w:p>
    <w:p w14:paraId="7877073E">
      <w:pPr>
        <w:pStyle w:val="12"/>
        <w:spacing w:line="300" w:lineRule="auto"/>
        <w:rPr>
          <w:color w:val="000000"/>
        </w:rPr>
      </w:pPr>
      <w:r>
        <w:rPr>
          <w:color w:val="000000"/>
        </w:rPr>
        <w:t>6.3.7.2</w:t>
      </w:r>
      <w:r>
        <w:rPr>
          <w:rFonts w:hint="eastAsia"/>
          <w:color w:val="000000"/>
        </w:rPr>
        <w:t>超过投标截止时间送达的或未按规定地点送达的</w:t>
      </w:r>
      <w:r>
        <w:rPr>
          <w:color w:val="000000"/>
        </w:rPr>
        <w:t>;</w:t>
      </w:r>
    </w:p>
    <w:p w14:paraId="095DDFC5">
      <w:pPr>
        <w:pStyle w:val="12"/>
        <w:spacing w:line="300" w:lineRule="auto"/>
        <w:rPr>
          <w:color w:val="000000"/>
        </w:rPr>
      </w:pPr>
      <w:r>
        <w:rPr>
          <w:color w:val="000000"/>
        </w:rPr>
        <w:t>6.3.7.3</w:t>
      </w:r>
      <w:r>
        <w:rPr>
          <w:rFonts w:hint="eastAsia"/>
          <w:color w:val="000000"/>
        </w:rPr>
        <w:t>未按规定密封、签章的；</w:t>
      </w:r>
    </w:p>
    <w:p w14:paraId="715E40FC">
      <w:pPr>
        <w:pStyle w:val="12"/>
        <w:spacing w:line="300" w:lineRule="auto"/>
        <w:rPr>
          <w:color w:val="000000"/>
        </w:rPr>
      </w:pPr>
      <w:r>
        <w:rPr>
          <w:color w:val="000000"/>
        </w:rPr>
        <w:t>6.3.7.4</w:t>
      </w:r>
      <w:r>
        <w:rPr>
          <w:rFonts w:hint="eastAsia"/>
          <w:color w:val="000000"/>
        </w:rPr>
        <w:t>超出经营范围投标的；</w:t>
      </w:r>
    </w:p>
    <w:p w14:paraId="47EFFB22">
      <w:pPr>
        <w:pStyle w:val="12"/>
        <w:spacing w:line="300" w:lineRule="auto"/>
        <w:rPr>
          <w:color w:val="000000"/>
        </w:rPr>
      </w:pPr>
      <w:r>
        <w:rPr>
          <w:color w:val="000000"/>
        </w:rPr>
        <w:t>6.3.7.5</w:t>
      </w:r>
      <w:r>
        <w:rPr>
          <w:rFonts w:hint="eastAsia"/>
          <w:color w:val="000000"/>
        </w:rPr>
        <w:t>资格证明文件不全的，或者不符合招标文件标明的资格要求的；</w:t>
      </w:r>
    </w:p>
    <w:p w14:paraId="5C821D4B">
      <w:pPr>
        <w:pStyle w:val="12"/>
        <w:spacing w:line="300" w:lineRule="auto"/>
        <w:rPr>
          <w:color w:val="000000"/>
        </w:rPr>
      </w:pPr>
      <w:r>
        <w:rPr>
          <w:color w:val="000000"/>
        </w:rPr>
        <w:t>6.3.7.6</w:t>
      </w:r>
      <w:r>
        <w:rPr>
          <w:rFonts w:hint="eastAsia"/>
          <w:color w:val="000000"/>
        </w:rPr>
        <w:t>投标文件无法定代表人签字</w:t>
      </w:r>
      <w:r>
        <w:rPr>
          <w:color w:val="000000"/>
        </w:rPr>
        <w:t>,</w:t>
      </w:r>
      <w:r>
        <w:rPr>
          <w:rFonts w:hint="eastAsia"/>
          <w:color w:val="000000"/>
        </w:rPr>
        <w:t>或未提供法定代表人授权委托书、投标声明书或者填写项目不齐全的；</w:t>
      </w:r>
    </w:p>
    <w:p w14:paraId="06AAAD34">
      <w:pPr>
        <w:pStyle w:val="12"/>
        <w:spacing w:line="300" w:lineRule="auto"/>
        <w:rPr>
          <w:color w:val="000000"/>
        </w:rPr>
      </w:pPr>
      <w:r>
        <w:rPr>
          <w:color w:val="000000"/>
        </w:rPr>
        <w:t>6.3.7.7</w:t>
      </w:r>
      <w:r>
        <w:rPr>
          <w:rFonts w:hint="eastAsia"/>
          <w:color w:val="000000"/>
        </w:rPr>
        <w:t>投标代表人未能出具身份证明或与法定代表人授权委托人身份不符的；</w:t>
      </w:r>
      <w:r>
        <w:rPr>
          <w:color w:val="000000"/>
        </w:rPr>
        <w:t xml:space="preserve"> </w:t>
      </w:r>
    </w:p>
    <w:p w14:paraId="5CC34708">
      <w:pPr>
        <w:pStyle w:val="12"/>
        <w:spacing w:line="300" w:lineRule="auto"/>
        <w:rPr>
          <w:color w:val="000000"/>
        </w:rPr>
      </w:pPr>
      <w:r>
        <w:rPr>
          <w:color w:val="000000"/>
        </w:rPr>
        <w:t>6.3.7.8</w:t>
      </w:r>
      <w:r>
        <w:rPr>
          <w:rFonts w:hint="eastAsia"/>
          <w:color w:val="000000"/>
        </w:rPr>
        <w:t>投标文件格式不规范、项目不齐全或者内容虚假的；</w:t>
      </w:r>
    </w:p>
    <w:p w14:paraId="4A88DF03">
      <w:pPr>
        <w:pStyle w:val="12"/>
        <w:spacing w:line="300" w:lineRule="auto"/>
        <w:rPr>
          <w:color w:val="000000"/>
        </w:rPr>
      </w:pPr>
      <w:r>
        <w:rPr>
          <w:color w:val="000000"/>
        </w:rPr>
        <w:t>6.3.7.9</w:t>
      </w:r>
      <w:r>
        <w:rPr>
          <w:rFonts w:hint="eastAsia"/>
          <w:color w:val="000000"/>
        </w:rPr>
        <w:t>投标文件的实质性内容未使用中文表述、意思表述不明确、前后矛盾或者使用计量单位不符合招标文件要求的（经评标委会认定允许其当场更正的笔误除外）</w:t>
      </w:r>
    </w:p>
    <w:p w14:paraId="7FE05F83">
      <w:pPr>
        <w:pStyle w:val="12"/>
        <w:spacing w:line="300" w:lineRule="auto"/>
        <w:rPr>
          <w:color w:val="000000"/>
        </w:rPr>
      </w:pPr>
      <w:r>
        <w:rPr>
          <w:color w:val="000000"/>
        </w:rPr>
        <w:t>6.3.7.10</w:t>
      </w:r>
      <w:r>
        <w:rPr>
          <w:rFonts w:hint="eastAsia"/>
          <w:color w:val="000000"/>
        </w:rPr>
        <w:t>投标文件的关键内容字迹模糊、无法辨认的</w:t>
      </w:r>
      <w:r>
        <w:rPr>
          <w:color w:val="000000"/>
        </w:rPr>
        <w:t>,</w:t>
      </w:r>
      <w:r>
        <w:rPr>
          <w:rFonts w:hint="eastAsia"/>
          <w:color w:val="000000"/>
        </w:rPr>
        <w:t>或者投标文件中经修正的内容字迹模糊难以辩认或者修改处未按规定签盖章的；</w:t>
      </w:r>
      <w:r>
        <w:rPr>
          <w:color w:val="000000"/>
        </w:rPr>
        <w:t xml:space="preserve"> </w:t>
      </w:r>
    </w:p>
    <w:p w14:paraId="5DBD143B">
      <w:pPr>
        <w:pStyle w:val="12"/>
        <w:spacing w:line="300" w:lineRule="auto"/>
        <w:rPr>
          <w:color w:val="000000"/>
        </w:rPr>
      </w:pPr>
      <w:r>
        <w:rPr>
          <w:color w:val="000000"/>
        </w:rPr>
        <w:t>6.3.7.11</w:t>
      </w:r>
      <w:r>
        <w:rPr>
          <w:rFonts w:hint="eastAsia"/>
          <w:color w:val="000000"/>
        </w:rPr>
        <w:t>投标文件正、副本实质性内容不一致的；</w:t>
      </w:r>
    </w:p>
    <w:p w14:paraId="39BE0E26">
      <w:pPr>
        <w:pStyle w:val="12"/>
        <w:spacing w:line="300" w:lineRule="auto"/>
        <w:rPr>
          <w:color w:val="000000"/>
        </w:rPr>
      </w:pPr>
      <w:r>
        <w:rPr>
          <w:color w:val="000000"/>
        </w:rPr>
        <w:t>6.3.7.12</w:t>
      </w:r>
      <w:r>
        <w:rPr>
          <w:rFonts w:hint="eastAsia"/>
          <w:color w:val="000000"/>
        </w:rPr>
        <w:t>投标有效期、工期、质保期等不能满足招标文件要求的；</w:t>
      </w:r>
    </w:p>
    <w:p w14:paraId="4B31A52A">
      <w:pPr>
        <w:pStyle w:val="12"/>
        <w:spacing w:line="300" w:lineRule="auto"/>
        <w:rPr>
          <w:color w:val="000000"/>
        </w:rPr>
      </w:pPr>
      <w:r>
        <w:rPr>
          <w:color w:val="000000"/>
        </w:rPr>
        <w:t>6.3.7.13</w:t>
      </w:r>
      <w:r>
        <w:rPr>
          <w:rFonts w:hint="eastAsia"/>
          <w:color w:val="000000"/>
        </w:rPr>
        <w:t>不响应或者擅自改变招标文件要求或者投标文件有招标方不能接受的附加条件的；</w:t>
      </w:r>
    </w:p>
    <w:p w14:paraId="4A9A2289">
      <w:pPr>
        <w:pStyle w:val="12"/>
        <w:spacing w:line="300" w:lineRule="auto"/>
        <w:rPr>
          <w:color w:val="000000"/>
        </w:rPr>
      </w:pPr>
      <w:r>
        <w:rPr>
          <w:color w:val="000000"/>
        </w:rPr>
        <w:t>6.3.7.14</w:t>
      </w:r>
      <w:r>
        <w:rPr>
          <w:rFonts w:hint="eastAsia"/>
          <w:color w:val="000000"/>
        </w:rPr>
        <w:t>投标文件的付款条款与招标文件有不利于招标人的重大偏离的。</w:t>
      </w:r>
    </w:p>
    <w:p w14:paraId="162BB94A">
      <w:pPr>
        <w:pStyle w:val="12"/>
        <w:spacing w:line="300" w:lineRule="auto"/>
        <w:rPr>
          <w:color w:val="000000"/>
        </w:rPr>
      </w:pPr>
      <w:r>
        <w:rPr>
          <w:color w:val="000000"/>
        </w:rPr>
        <w:t xml:space="preserve">6.3.7.15 </w:t>
      </w:r>
      <w:r>
        <w:rPr>
          <w:rFonts w:hint="eastAsia"/>
          <w:color w:val="000000"/>
        </w:rPr>
        <w:t>投标方必须是本单位投标。投标方中标后非法分包、转包者，一经发现，投标视为无效，并取消投标方今后参与装备部的投标资格。</w:t>
      </w:r>
    </w:p>
    <w:p w14:paraId="2670055B">
      <w:pPr>
        <w:pStyle w:val="12"/>
        <w:spacing w:line="300" w:lineRule="auto"/>
        <w:rPr>
          <w:color w:val="000000"/>
        </w:rPr>
      </w:pPr>
      <w:r>
        <w:rPr>
          <w:color w:val="000000"/>
        </w:rPr>
        <w:t xml:space="preserve">6.3.7.16 </w:t>
      </w:r>
      <w:r>
        <w:rPr>
          <w:rFonts w:hint="eastAsia"/>
          <w:color w:val="000000"/>
        </w:rPr>
        <w:t>投标方借用其他单位资格、信誉、荣誉、业绩与企业认证的，一经发现，取消投标资格，并取消投标方今后参与济钢集团的投标资格。</w:t>
      </w:r>
    </w:p>
    <w:p w14:paraId="328A33C0">
      <w:pPr>
        <w:pStyle w:val="12"/>
        <w:spacing w:line="300" w:lineRule="auto"/>
        <w:rPr>
          <w:color w:val="000000"/>
        </w:rPr>
      </w:pPr>
      <w:r>
        <w:rPr>
          <w:color w:val="000000"/>
        </w:rPr>
        <w:t xml:space="preserve">6.3.8 </w:t>
      </w:r>
      <w:r>
        <w:rPr>
          <w:rFonts w:hint="eastAsia"/>
          <w:color w:val="000000"/>
        </w:rPr>
        <w:t>在技术评议时，如发现下列情形之一的，投标文件将被视为无效投标：</w:t>
      </w:r>
    </w:p>
    <w:p w14:paraId="7AF00F5C">
      <w:pPr>
        <w:pStyle w:val="12"/>
        <w:spacing w:line="300" w:lineRule="auto"/>
        <w:rPr>
          <w:color w:val="000000"/>
        </w:rPr>
      </w:pPr>
      <w:r>
        <w:rPr>
          <w:color w:val="000000"/>
        </w:rPr>
        <w:t>6.3.8.1</w:t>
      </w:r>
      <w:r>
        <w:rPr>
          <w:rFonts w:hint="eastAsia"/>
          <w:color w:val="000000"/>
        </w:rPr>
        <w:t>未提供或未如实提供投标货物的技术参数，或者投标文件标明的响应或偏离与事实不符或虚假投标的；</w:t>
      </w:r>
    </w:p>
    <w:p w14:paraId="668A289E">
      <w:pPr>
        <w:pStyle w:val="12"/>
        <w:spacing w:line="300" w:lineRule="auto"/>
        <w:rPr>
          <w:color w:val="000000"/>
        </w:rPr>
      </w:pPr>
      <w:r>
        <w:rPr>
          <w:color w:val="000000"/>
        </w:rPr>
        <w:t>6.3.8.2</w:t>
      </w:r>
      <w:r>
        <w:rPr>
          <w:rFonts w:hint="eastAsia"/>
          <w:color w:val="000000"/>
        </w:rPr>
        <w:t>明显不符合招标文件标明的规格型号、质量标准，技术指标、主要功能项目发生实质性偏离的；</w:t>
      </w:r>
    </w:p>
    <w:p w14:paraId="5D451A53">
      <w:pPr>
        <w:pStyle w:val="12"/>
        <w:spacing w:line="300" w:lineRule="auto"/>
        <w:rPr>
          <w:color w:val="000000"/>
        </w:rPr>
      </w:pPr>
      <w:r>
        <w:rPr>
          <w:color w:val="000000"/>
        </w:rPr>
        <w:t>6.3.8.3</w:t>
      </w:r>
      <w:r>
        <w:rPr>
          <w:rFonts w:hint="eastAsia"/>
          <w:color w:val="000000"/>
        </w:rPr>
        <w:t>投标技术方案不明确，存在一个或一个以上备选（替代）投标方案且未注明哪个有效的；</w:t>
      </w:r>
    </w:p>
    <w:p w14:paraId="3F0FD5B1">
      <w:pPr>
        <w:pStyle w:val="12"/>
        <w:spacing w:line="300" w:lineRule="auto"/>
        <w:rPr>
          <w:color w:val="000000"/>
        </w:rPr>
      </w:pPr>
      <w:r>
        <w:rPr>
          <w:color w:val="000000"/>
        </w:rPr>
        <w:t>6.3.9</w:t>
      </w:r>
      <w:r>
        <w:rPr>
          <w:rFonts w:hint="eastAsia"/>
          <w:color w:val="000000"/>
        </w:rPr>
        <w:t>、在报价评议时，如发现下列情形之一的，投标文件将被视为无效投标：</w:t>
      </w:r>
    </w:p>
    <w:p w14:paraId="5D85C496">
      <w:pPr>
        <w:pStyle w:val="12"/>
        <w:spacing w:line="300" w:lineRule="auto"/>
        <w:rPr>
          <w:color w:val="000000"/>
        </w:rPr>
      </w:pPr>
      <w:r>
        <w:rPr>
          <w:color w:val="000000"/>
        </w:rPr>
        <w:t>6.3.9.1</w:t>
      </w:r>
      <w:r>
        <w:rPr>
          <w:rFonts w:hint="eastAsia"/>
          <w:color w:val="000000"/>
        </w:rPr>
        <w:t>开标时，投标方对本单位报价不签字确认的一律视为无效投标。</w:t>
      </w:r>
    </w:p>
    <w:p w14:paraId="6FD38DCC">
      <w:pPr>
        <w:pStyle w:val="12"/>
        <w:spacing w:line="300" w:lineRule="auto"/>
        <w:rPr>
          <w:color w:val="000000"/>
        </w:rPr>
      </w:pPr>
      <w:r>
        <w:rPr>
          <w:color w:val="000000"/>
        </w:rPr>
        <w:t>6.3.9.2</w:t>
      </w:r>
      <w:r>
        <w:rPr>
          <w:rFonts w:hint="eastAsia"/>
          <w:color w:val="000000"/>
        </w:rPr>
        <w:t>开标时，投标方投标文件中有两种或以上报价的，一律视为无效投标。</w:t>
      </w:r>
    </w:p>
    <w:p w14:paraId="21F3CD1D">
      <w:pPr>
        <w:pStyle w:val="12"/>
        <w:spacing w:line="300" w:lineRule="auto"/>
        <w:rPr>
          <w:color w:val="000000"/>
        </w:rPr>
      </w:pPr>
      <w:r>
        <w:rPr>
          <w:color w:val="000000"/>
        </w:rPr>
        <w:t>6.3.9.3</w:t>
      </w:r>
      <w:r>
        <w:rPr>
          <w:rFonts w:hint="eastAsia"/>
          <w:color w:val="000000"/>
        </w:rPr>
        <w:t>未采用人民币报价或者未按照招标文件标明的币种报价的；</w:t>
      </w:r>
    </w:p>
    <w:p w14:paraId="21108AB5">
      <w:pPr>
        <w:pStyle w:val="12"/>
        <w:spacing w:line="300" w:lineRule="auto"/>
        <w:rPr>
          <w:color w:val="000000"/>
        </w:rPr>
      </w:pPr>
      <w:r>
        <w:rPr>
          <w:color w:val="000000"/>
        </w:rPr>
        <w:t>6.3.9.4</w:t>
      </w:r>
      <w:r>
        <w:rPr>
          <w:rFonts w:hint="eastAsia"/>
          <w:color w:val="000000"/>
        </w:rPr>
        <w:t>投标报价具有选择性，报价与投标文件承诺的价格不一致；</w:t>
      </w:r>
    </w:p>
    <w:p w14:paraId="12A60BF0">
      <w:pPr>
        <w:pStyle w:val="12"/>
        <w:spacing w:line="300" w:lineRule="auto"/>
        <w:rPr>
          <w:color w:val="000000"/>
        </w:rPr>
      </w:pPr>
      <w:r>
        <w:rPr>
          <w:color w:val="000000"/>
        </w:rPr>
        <w:t>6.3.10</w:t>
      </w:r>
      <w:r>
        <w:rPr>
          <w:rFonts w:hint="eastAsia"/>
          <w:color w:val="000000"/>
        </w:rPr>
        <w:t>、有下列情形之一的，投标无效且将投标文件、询标记录等报有关职能部门查处：</w:t>
      </w:r>
    </w:p>
    <w:p w14:paraId="0724A2EC">
      <w:pPr>
        <w:pStyle w:val="12"/>
        <w:spacing w:line="300" w:lineRule="auto"/>
        <w:rPr>
          <w:color w:val="000000"/>
        </w:rPr>
      </w:pPr>
      <w:r>
        <w:rPr>
          <w:color w:val="000000"/>
        </w:rPr>
        <w:t>6.3.10.1</w:t>
      </w:r>
      <w:r>
        <w:rPr>
          <w:rFonts w:hint="eastAsia"/>
          <w:color w:val="000000"/>
        </w:rPr>
        <w:t>未如实提供产品质量、性能等方面的缺陷或停产淘汰、债权债务、违法记录信息，影响或者可能影响中标结果的；</w:t>
      </w:r>
    </w:p>
    <w:p w14:paraId="238AFC12">
      <w:pPr>
        <w:pStyle w:val="12"/>
        <w:spacing w:line="300" w:lineRule="auto"/>
        <w:rPr>
          <w:color w:val="000000"/>
        </w:rPr>
      </w:pPr>
      <w:r>
        <w:rPr>
          <w:color w:val="000000"/>
        </w:rPr>
        <w:t>6.3.10.2</w:t>
      </w:r>
      <w:r>
        <w:rPr>
          <w:rFonts w:hint="eastAsia"/>
          <w:color w:val="000000"/>
        </w:rPr>
        <w:t>投标活动中存在违法行为的；</w:t>
      </w:r>
    </w:p>
    <w:p w14:paraId="25F50B31">
      <w:pPr>
        <w:pStyle w:val="12"/>
        <w:spacing w:line="300" w:lineRule="auto"/>
        <w:rPr>
          <w:color w:val="000000"/>
        </w:rPr>
      </w:pPr>
      <w:r>
        <w:rPr>
          <w:color w:val="000000"/>
        </w:rPr>
        <w:t xml:space="preserve">6.3.11 </w:t>
      </w:r>
      <w:r>
        <w:rPr>
          <w:rFonts w:hint="eastAsia"/>
          <w:color w:val="000000"/>
        </w:rPr>
        <w:t>重大偏差：</w:t>
      </w:r>
    </w:p>
    <w:p w14:paraId="44BB29AC">
      <w:pPr>
        <w:pStyle w:val="12"/>
        <w:spacing w:line="300" w:lineRule="auto"/>
        <w:rPr>
          <w:color w:val="000000"/>
        </w:rPr>
      </w:pPr>
      <w:r>
        <w:rPr>
          <w:color w:val="000000"/>
        </w:rPr>
        <w:t>6.3.11.1</w:t>
      </w:r>
      <w:r>
        <w:rPr>
          <w:rFonts w:hint="eastAsia"/>
          <w:color w:val="000000"/>
        </w:rPr>
        <w:t>没有按照招标文件要求提供投标担保或者所提供的投标担保有瑕疵；</w:t>
      </w:r>
    </w:p>
    <w:p w14:paraId="5B3A8147">
      <w:pPr>
        <w:pStyle w:val="12"/>
        <w:spacing w:line="300" w:lineRule="auto"/>
        <w:rPr>
          <w:color w:val="000000"/>
        </w:rPr>
      </w:pPr>
      <w:r>
        <w:rPr>
          <w:color w:val="000000"/>
        </w:rPr>
        <w:t xml:space="preserve">6.3.11.2 </w:t>
      </w:r>
      <w:r>
        <w:rPr>
          <w:rFonts w:hint="eastAsia"/>
          <w:color w:val="000000"/>
        </w:rPr>
        <w:t>投标文件中投标方未加盖单位公章，也未经法定代表人或其授权代表签字或盖章的；</w:t>
      </w:r>
    </w:p>
    <w:p w14:paraId="6E7E59CE">
      <w:pPr>
        <w:pStyle w:val="12"/>
        <w:spacing w:line="300" w:lineRule="auto"/>
        <w:rPr>
          <w:color w:val="000000"/>
        </w:rPr>
      </w:pPr>
      <w:r>
        <w:rPr>
          <w:color w:val="000000"/>
        </w:rPr>
        <w:t xml:space="preserve">6.3.11.3 </w:t>
      </w:r>
      <w:r>
        <w:rPr>
          <w:rFonts w:hint="eastAsia"/>
          <w:color w:val="000000"/>
        </w:rPr>
        <w:t>投标文件载明的招标项目完成期限超过招标文件规定的期限；</w:t>
      </w:r>
    </w:p>
    <w:p w14:paraId="00482BF3">
      <w:pPr>
        <w:pStyle w:val="12"/>
        <w:spacing w:line="300" w:lineRule="auto"/>
        <w:rPr>
          <w:color w:val="000000"/>
        </w:rPr>
      </w:pPr>
      <w:r>
        <w:rPr>
          <w:color w:val="000000"/>
        </w:rPr>
        <w:t xml:space="preserve">6.3.11.4 </w:t>
      </w:r>
      <w:r>
        <w:rPr>
          <w:rFonts w:hint="eastAsia"/>
          <w:color w:val="000000"/>
        </w:rPr>
        <w:t>明显不符合技术规格、技术标准的要求；</w:t>
      </w:r>
    </w:p>
    <w:p w14:paraId="6BCAC358">
      <w:pPr>
        <w:pStyle w:val="12"/>
        <w:spacing w:line="300" w:lineRule="auto"/>
        <w:rPr>
          <w:color w:val="000000"/>
        </w:rPr>
      </w:pPr>
      <w:r>
        <w:rPr>
          <w:color w:val="000000"/>
        </w:rPr>
        <w:t xml:space="preserve">6.3.11.5 </w:t>
      </w:r>
      <w:r>
        <w:rPr>
          <w:rFonts w:hint="eastAsia"/>
          <w:color w:val="000000"/>
        </w:rPr>
        <w:t>投标文件承诺的质量等级低于招标文件规定要求的；</w:t>
      </w:r>
    </w:p>
    <w:p w14:paraId="5CB4FE68">
      <w:pPr>
        <w:pStyle w:val="12"/>
        <w:spacing w:line="300" w:lineRule="auto"/>
        <w:rPr>
          <w:color w:val="000000"/>
        </w:rPr>
      </w:pPr>
      <w:r>
        <w:rPr>
          <w:color w:val="000000"/>
        </w:rPr>
        <w:t xml:space="preserve">6.3.11.6 </w:t>
      </w:r>
      <w:r>
        <w:rPr>
          <w:rFonts w:hint="eastAsia"/>
          <w:color w:val="000000"/>
        </w:rPr>
        <w:t>投标文件附有招标方不能接受的条件；</w:t>
      </w:r>
    </w:p>
    <w:p w14:paraId="2690B22D">
      <w:pPr>
        <w:pStyle w:val="12"/>
        <w:spacing w:line="300" w:lineRule="auto"/>
        <w:rPr>
          <w:color w:val="000000"/>
        </w:rPr>
      </w:pPr>
      <w:r>
        <w:rPr>
          <w:color w:val="000000"/>
        </w:rPr>
        <w:t xml:space="preserve">6.3.11.7 </w:t>
      </w:r>
      <w:r>
        <w:rPr>
          <w:rFonts w:hint="eastAsia"/>
          <w:color w:val="000000"/>
        </w:rPr>
        <w:t>未按规定的格式填写，内容不全或关键字迹模糊、无法辨认；</w:t>
      </w:r>
    </w:p>
    <w:p w14:paraId="18102C63">
      <w:pPr>
        <w:pStyle w:val="12"/>
        <w:spacing w:line="300" w:lineRule="auto"/>
        <w:rPr>
          <w:color w:val="000000"/>
        </w:rPr>
      </w:pPr>
      <w:r>
        <w:rPr>
          <w:color w:val="000000"/>
        </w:rPr>
        <w:t xml:space="preserve">6.3.11.8 </w:t>
      </w:r>
      <w:r>
        <w:rPr>
          <w:rFonts w:hint="eastAsia"/>
          <w:color w:val="000000"/>
        </w:rPr>
        <w:t>投标方递交两份或多份内容不同的投标文件，或在一份投标文件中对同一招标项目有两个或多个报价，且未声明哪一个有效，按招标文件规定提交备选投标方案的除外；</w:t>
      </w:r>
    </w:p>
    <w:p w14:paraId="3F8382BE">
      <w:pPr>
        <w:pStyle w:val="12"/>
        <w:spacing w:line="300" w:lineRule="auto"/>
        <w:rPr>
          <w:color w:val="000000"/>
        </w:rPr>
      </w:pPr>
      <w:r>
        <w:rPr>
          <w:color w:val="000000"/>
        </w:rPr>
        <w:t xml:space="preserve">6.3.11.9 </w:t>
      </w:r>
      <w:r>
        <w:rPr>
          <w:rFonts w:hint="eastAsia"/>
          <w:color w:val="000000"/>
        </w:rPr>
        <w:t>投标方名称或组织结构与资格预审时不一致且未提供有效证明的；</w:t>
      </w:r>
    </w:p>
    <w:p w14:paraId="333B9661">
      <w:pPr>
        <w:pStyle w:val="12"/>
        <w:spacing w:line="300" w:lineRule="auto"/>
        <w:rPr>
          <w:color w:val="000000"/>
        </w:rPr>
      </w:pPr>
      <w:r>
        <w:rPr>
          <w:color w:val="000000"/>
        </w:rPr>
        <w:t xml:space="preserve">6.3.11.10 </w:t>
      </w:r>
      <w:r>
        <w:rPr>
          <w:rFonts w:hint="eastAsia"/>
          <w:color w:val="000000"/>
        </w:rPr>
        <w:t>投标报价明显低于成本报价且材料价格明显与市场价格有重大偏离的；</w:t>
      </w:r>
    </w:p>
    <w:p w14:paraId="1004DB89">
      <w:pPr>
        <w:pStyle w:val="12"/>
        <w:spacing w:line="300" w:lineRule="auto"/>
        <w:rPr>
          <w:color w:val="000000"/>
        </w:rPr>
      </w:pPr>
      <w:r>
        <w:rPr>
          <w:color w:val="000000"/>
        </w:rPr>
        <w:t xml:space="preserve">6.3.11.11 </w:t>
      </w:r>
      <w:r>
        <w:rPr>
          <w:rFonts w:hint="eastAsia"/>
          <w:color w:val="000000"/>
        </w:rPr>
        <w:t>不符合招标文件中规定的其他实质性要求（明确约定的重大偏差）；</w:t>
      </w:r>
    </w:p>
    <w:p w14:paraId="2566D782">
      <w:pPr>
        <w:pStyle w:val="12"/>
        <w:spacing w:line="300" w:lineRule="auto"/>
        <w:rPr>
          <w:color w:val="000000"/>
        </w:rPr>
      </w:pPr>
      <w:r>
        <w:rPr>
          <w:color w:val="000000"/>
        </w:rPr>
        <w:t>6.3.11.12</w:t>
      </w:r>
      <w:r>
        <w:rPr>
          <w:rFonts w:hint="eastAsia"/>
          <w:color w:val="000000"/>
        </w:rPr>
        <w:t>报价明显低于其它投标报价</w:t>
      </w:r>
      <w:r>
        <w:rPr>
          <w:color w:val="000000"/>
        </w:rPr>
        <w:t>,</w:t>
      </w:r>
      <w:r>
        <w:rPr>
          <w:rFonts w:hint="eastAsia"/>
          <w:color w:val="000000"/>
        </w:rPr>
        <w:t>且投标人不能合理说明或提供相关证明材料</w:t>
      </w:r>
      <w:r>
        <w:rPr>
          <w:color w:val="000000"/>
        </w:rPr>
        <w:t>,</w:t>
      </w:r>
      <w:r>
        <w:rPr>
          <w:rFonts w:hint="eastAsia"/>
          <w:color w:val="000000"/>
        </w:rPr>
        <w:t>评标委员会认定该投标人以低于成本报价竞标的</w:t>
      </w:r>
      <w:r>
        <w:rPr>
          <w:color w:val="000000"/>
        </w:rPr>
        <w:t>.</w:t>
      </w:r>
      <w:r>
        <w:rPr>
          <w:rFonts w:hint="eastAsia"/>
          <w:color w:val="000000"/>
        </w:rPr>
        <w:t>评标委员会在评审时，如果发现投标方的投标文件中含有重大偏差内容时，可作废标处理。所有投标被否决后，招标方将依法重新招标。</w:t>
      </w:r>
      <w:r>
        <w:rPr>
          <w:color w:val="000000"/>
        </w:rPr>
        <w:t xml:space="preserve"> </w:t>
      </w:r>
    </w:p>
    <w:p w14:paraId="75666DAA">
      <w:pPr>
        <w:pStyle w:val="12"/>
        <w:spacing w:line="300" w:lineRule="auto"/>
        <w:rPr>
          <w:color w:val="000000"/>
        </w:rPr>
      </w:pPr>
      <w:r>
        <w:rPr>
          <w:color w:val="000000"/>
        </w:rPr>
        <w:t xml:space="preserve">6.3.12 </w:t>
      </w:r>
      <w:r>
        <w:rPr>
          <w:rFonts w:hint="eastAsia"/>
          <w:color w:val="000000"/>
        </w:rPr>
        <w:t>细微偏差：非重大偏差的偏差，认定为细微偏差。细微偏差系指投标文件在实质上响应招标文件要求，但在个别地方存在漏项或者提供了不完整的技术信息和数据等情况，并且补正这些遗漏或者不完整不会对其他投标方造成不公平的后果。在评标结束前，评标委员会可以要求投标方书面补正，投标方拒不按照要求对投标中细微偏差不响应承诺的。</w:t>
      </w:r>
    </w:p>
    <w:p w14:paraId="758A11FC">
      <w:pPr>
        <w:keepNext/>
        <w:keepLines/>
        <w:spacing w:line="300" w:lineRule="auto"/>
        <w:outlineLvl w:val="2"/>
        <w:rPr>
          <w:rFonts w:ascii="Times New Roman" w:hAnsi="Times New Roman" w:eastAsia="黑体"/>
          <w:bCs/>
          <w:color w:val="000000"/>
          <w:sz w:val="28"/>
          <w:szCs w:val="28"/>
        </w:rPr>
      </w:pPr>
      <w:bookmarkStart w:id="47" w:name="_Toc9270"/>
      <w:r>
        <w:rPr>
          <w:rFonts w:ascii="Times New Roman" w:hAnsi="Times New Roman" w:eastAsia="黑体"/>
          <w:bCs/>
          <w:color w:val="000000"/>
          <w:sz w:val="28"/>
          <w:szCs w:val="28"/>
        </w:rPr>
        <w:t xml:space="preserve">6.4 </w:t>
      </w:r>
      <w:r>
        <w:rPr>
          <w:rFonts w:hint="eastAsia" w:ascii="Times New Roman" w:hAnsi="Times New Roman" w:eastAsia="黑体"/>
          <w:bCs/>
          <w:color w:val="000000"/>
          <w:sz w:val="28"/>
          <w:szCs w:val="28"/>
        </w:rPr>
        <w:t>详细评审</w:t>
      </w:r>
      <w:bookmarkEnd w:id="47"/>
    </w:p>
    <w:p w14:paraId="4CE0DADF">
      <w:pPr>
        <w:spacing w:line="300" w:lineRule="auto"/>
        <w:ind w:firstLine="420" w:firstLineChars="200"/>
        <w:rPr>
          <w:rFonts w:ascii="Times New Roman" w:hAnsi="Times New Roman"/>
          <w:color w:val="000000"/>
        </w:rPr>
      </w:pPr>
      <w:r>
        <w:rPr>
          <w:rFonts w:ascii="Times New Roman" w:hAnsi="Times New Roman"/>
          <w:color w:val="000000"/>
        </w:rPr>
        <w:t>6.4.1</w:t>
      </w:r>
      <w:r>
        <w:rPr>
          <w:rFonts w:hint="eastAsia" w:ascii="Times New Roman" w:hAnsi="Times New Roman"/>
          <w:color w:val="000000"/>
        </w:rPr>
        <w:t>只有通过了初步评审、被判定为合格的投标人方可进入详细评审。本次评标采用综合评分法，详细评审的程序：</w:t>
      </w:r>
    </w:p>
    <w:p w14:paraId="69396D42">
      <w:pPr>
        <w:spacing w:line="300" w:lineRule="auto"/>
        <w:ind w:firstLine="420" w:firstLineChars="200"/>
        <w:rPr>
          <w:rFonts w:ascii="Times New Roman" w:hAnsi="Times New Roman"/>
          <w:color w:val="000000"/>
        </w:rPr>
      </w:pPr>
      <w:r>
        <w:rPr>
          <w:rFonts w:ascii="Times New Roman" w:hAnsi="Times New Roman"/>
          <w:color w:val="000000"/>
        </w:rPr>
        <w:t>6.4.1.1</w:t>
      </w:r>
      <w:r>
        <w:rPr>
          <w:rFonts w:hint="eastAsia" w:ascii="Times New Roman" w:hAnsi="Times New Roman"/>
          <w:color w:val="000000"/>
        </w:rPr>
        <w:t>技术标评审</w:t>
      </w:r>
    </w:p>
    <w:p w14:paraId="5B216B6B">
      <w:pPr>
        <w:spacing w:line="300" w:lineRule="auto"/>
        <w:ind w:firstLine="420" w:firstLineChars="200"/>
        <w:rPr>
          <w:rFonts w:ascii="Times New Roman" w:hAnsi="Times New Roman"/>
          <w:color w:val="000000"/>
        </w:rPr>
      </w:pPr>
      <w:r>
        <w:rPr>
          <w:rFonts w:ascii="Times New Roman" w:hAnsi="Times New Roman"/>
          <w:color w:val="000000"/>
        </w:rPr>
        <w:t>6.4.1.2</w:t>
      </w:r>
      <w:r>
        <w:rPr>
          <w:rFonts w:hint="eastAsia" w:ascii="Times New Roman" w:hAnsi="Times New Roman"/>
          <w:color w:val="000000"/>
        </w:rPr>
        <w:t>商务标评审（须已通过技术标评审）；</w:t>
      </w:r>
    </w:p>
    <w:p w14:paraId="2C22DE09">
      <w:pPr>
        <w:spacing w:line="300" w:lineRule="auto"/>
        <w:ind w:firstLine="420" w:firstLineChars="200"/>
        <w:rPr>
          <w:rFonts w:ascii="Times New Roman" w:hAnsi="Times New Roman"/>
          <w:color w:val="000000"/>
        </w:rPr>
      </w:pPr>
      <w:r>
        <w:rPr>
          <w:rFonts w:ascii="Times New Roman" w:hAnsi="Times New Roman"/>
          <w:color w:val="000000"/>
        </w:rPr>
        <w:t>6.4.1.3</w:t>
      </w:r>
      <w:r>
        <w:rPr>
          <w:rFonts w:hint="eastAsia" w:ascii="Times New Roman" w:hAnsi="Times New Roman"/>
          <w:color w:val="000000"/>
        </w:rPr>
        <w:t>其他因素评审和评分</w:t>
      </w:r>
    </w:p>
    <w:p w14:paraId="50ACC3E7">
      <w:pPr>
        <w:spacing w:line="300" w:lineRule="auto"/>
        <w:ind w:firstLine="420" w:firstLineChars="200"/>
        <w:rPr>
          <w:rFonts w:ascii="Times New Roman" w:hAnsi="Times New Roman"/>
          <w:color w:val="000000"/>
        </w:rPr>
      </w:pPr>
      <w:r>
        <w:rPr>
          <w:rFonts w:ascii="Times New Roman" w:hAnsi="Times New Roman"/>
          <w:color w:val="000000"/>
        </w:rPr>
        <w:t>6.4.1.4</w:t>
      </w:r>
      <w:r>
        <w:rPr>
          <w:rFonts w:hint="eastAsia" w:ascii="Times New Roman" w:hAnsi="Times New Roman"/>
          <w:color w:val="000000"/>
        </w:rPr>
        <w:t>汇总评分结果。</w:t>
      </w:r>
    </w:p>
    <w:p w14:paraId="0EE45D72">
      <w:pPr>
        <w:autoSpaceDE w:val="0"/>
        <w:autoSpaceDN w:val="0"/>
        <w:adjustRightInd w:val="0"/>
        <w:spacing w:line="300" w:lineRule="auto"/>
        <w:ind w:firstLine="420" w:firstLineChars="200"/>
        <w:rPr>
          <w:rFonts w:ascii="Times New Roman" w:hAnsi="Times New Roman"/>
          <w:color w:val="000000"/>
        </w:rPr>
      </w:pPr>
      <w:r>
        <w:rPr>
          <w:rFonts w:ascii="Times New Roman" w:hAnsi="Times New Roman"/>
          <w:color w:val="000000"/>
        </w:rPr>
        <w:t>6.4.1.5</w:t>
      </w:r>
      <w:r>
        <w:rPr>
          <w:rFonts w:hint="eastAsia" w:ascii="Times New Roman" w:hAnsi="Times New Roman"/>
          <w:color w:val="000000"/>
        </w:rPr>
        <w:t>评标委员会对资格评审合格，并满足招标文件实质性要求的投标文件，按照招标文件规定的评分标准进行评分。评标委员会成员评分的算术平均值为投标人的最终得分，计算各评标委员会成员评分算术平均值时，应先去掉一个最高评分和一个最低评分。</w:t>
      </w:r>
    </w:p>
    <w:p w14:paraId="69E1A0CC">
      <w:pPr>
        <w:spacing w:line="300" w:lineRule="auto"/>
        <w:ind w:firstLine="420" w:firstLineChars="200"/>
        <w:rPr>
          <w:rFonts w:ascii="Times New Roman" w:hAnsi="Times New Roman"/>
          <w:color w:val="000000"/>
        </w:rPr>
      </w:pPr>
      <w:r>
        <w:rPr>
          <w:rFonts w:ascii="Times New Roman" w:hAnsi="Times New Roman"/>
          <w:color w:val="000000"/>
        </w:rPr>
        <w:t>6.4.1.6</w:t>
      </w:r>
      <w:r>
        <w:rPr>
          <w:rFonts w:hint="eastAsia" w:ascii="Times New Roman" w:hAnsi="Times New Roman"/>
          <w:color w:val="000000"/>
        </w:rPr>
        <w:t>评委评分分值高出或低于所有评委评分平均分值</w:t>
      </w:r>
      <w:r>
        <w:rPr>
          <w:rFonts w:ascii="Times New Roman" w:hAnsi="Times New Roman"/>
          <w:color w:val="000000"/>
        </w:rPr>
        <w:t>20%</w:t>
      </w:r>
      <w:r>
        <w:rPr>
          <w:rFonts w:hint="eastAsia" w:ascii="Times New Roman" w:hAnsi="Times New Roman"/>
          <w:color w:val="000000"/>
        </w:rPr>
        <w:t>以上的，该评委应做出书面说明，并交由现场监督人员存入评标档案。</w:t>
      </w:r>
    </w:p>
    <w:p w14:paraId="0FE2AFC4">
      <w:pPr>
        <w:spacing w:line="300" w:lineRule="auto"/>
        <w:ind w:firstLine="420" w:firstLineChars="200"/>
        <w:rPr>
          <w:rFonts w:ascii="Times New Roman" w:hAnsi="Times New Roman"/>
          <w:color w:val="000000"/>
        </w:rPr>
      </w:pPr>
      <w:r>
        <w:rPr>
          <w:rFonts w:ascii="Times New Roman" w:hAnsi="Times New Roman"/>
          <w:color w:val="000000"/>
        </w:rPr>
        <w:t>6.4.2</w:t>
      </w:r>
      <w:r>
        <w:rPr>
          <w:rFonts w:hint="eastAsia" w:ascii="Times New Roman" w:hAnsi="Times New Roman"/>
          <w:color w:val="000000"/>
        </w:rPr>
        <w:t>在详细评审过程中，评标委员会应当就投标文件中不明确的内容要求投标人进行澄清、说明或者补正。投标人对此以书面形式予以澄清、说明或者补正。不按评标委员会要求澄清、说明或补正的，评标委员会将否决其投标。</w:t>
      </w:r>
    </w:p>
    <w:p w14:paraId="067DBD23">
      <w:pPr>
        <w:spacing w:line="300" w:lineRule="auto"/>
        <w:ind w:firstLine="420" w:firstLineChars="200"/>
        <w:rPr>
          <w:rFonts w:ascii="Times New Roman" w:hAnsi="Times New Roman"/>
          <w:color w:val="000000"/>
        </w:rPr>
      </w:pPr>
      <w:r>
        <w:rPr>
          <w:rFonts w:ascii="Times New Roman" w:hAnsi="Times New Roman"/>
          <w:color w:val="000000"/>
        </w:rPr>
        <w:t>6.4.3</w:t>
      </w:r>
      <w:r>
        <w:rPr>
          <w:rFonts w:hint="eastAsia" w:ascii="Times New Roman" w:hAnsi="Times New Roman"/>
          <w:color w:val="000000"/>
        </w:rPr>
        <w:t>评标委员会在评标过程中发现的问题，应当及时作出处理并作书面记录。</w:t>
      </w:r>
    </w:p>
    <w:p w14:paraId="20CD8D68">
      <w:pPr>
        <w:pStyle w:val="161"/>
        <w:widowControl/>
        <w:spacing w:before="0" w:line="300" w:lineRule="auto"/>
        <w:rPr>
          <w:color w:val="000000"/>
          <w:sz w:val="30"/>
          <w:szCs w:val="30"/>
        </w:rPr>
      </w:pPr>
      <w:bookmarkStart w:id="48" w:name="_Toc9363"/>
      <w:r>
        <w:rPr>
          <w:color w:val="000000"/>
          <w:sz w:val="30"/>
          <w:szCs w:val="30"/>
        </w:rPr>
        <w:t>7.</w:t>
      </w:r>
      <w:r>
        <w:rPr>
          <w:rFonts w:hint="eastAsia"/>
          <w:color w:val="000000"/>
          <w:sz w:val="30"/>
          <w:szCs w:val="30"/>
        </w:rPr>
        <w:t>定标</w:t>
      </w:r>
      <w:bookmarkEnd w:id="48"/>
    </w:p>
    <w:p w14:paraId="08B69046">
      <w:pPr>
        <w:pStyle w:val="4"/>
        <w:widowControl/>
        <w:spacing w:before="0" w:after="0" w:line="300" w:lineRule="auto"/>
        <w:rPr>
          <w:rFonts w:hint="eastAsia"/>
          <w:bCs w:val="0"/>
          <w:color w:val="000000"/>
        </w:rPr>
      </w:pPr>
      <w:bookmarkStart w:id="49" w:name="_Toc3760"/>
      <w:r>
        <w:rPr>
          <w:bCs w:val="0"/>
          <w:color w:val="000000"/>
        </w:rPr>
        <w:t>7.1</w:t>
      </w:r>
      <w:r>
        <w:rPr>
          <w:rFonts w:hint="eastAsia"/>
          <w:bCs w:val="0"/>
          <w:color w:val="000000"/>
        </w:rPr>
        <w:t>定标方式</w:t>
      </w:r>
      <w:bookmarkEnd w:id="49"/>
    </w:p>
    <w:p w14:paraId="5EC97777">
      <w:pPr>
        <w:spacing w:line="300" w:lineRule="auto"/>
        <w:ind w:firstLine="525" w:firstLineChars="250"/>
        <w:rPr>
          <w:rFonts w:ascii="Times New Roman" w:hAnsi="Times New Roman"/>
          <w:color w:val="000000"/>
        </w:rPr>
      </w:pPr>
      <w:r>
        <w:rPr>
          <w:rFonts w:ascii="Times New Roman" w:hAnsi="Times New Roman"/>
          <w:color w:val="000000"/>
        </w:rPr>
        <w:t>7.1.1</w:t>
      </w:r>
      <w:r>
        <w:rPr>
          <w:rFonts w:hint="eastAsia" w:ascii="Times New Roman" w:hAnsi="Times New Roman"/>
          <w:color w:val="000000"/>
        </w:rPr>
        <w:t>当出现二个或二个以上投标人的最终得分相同时，由评标委员会依次按投标人的投标价高低、技术标得分高低进行排序，即投标价低的排序优先，如投标价相同时，则技术标得分高的排序优先，如投标价与技术标得分均相同时，由评标委员会成员进行记名投票，按得票多少确定中标候选人排名排序。</w:t>
      </w:r>
    </w:p>
    <w:p w14:paraId="71F8E63F">
      <w:pPr>
        <w:spacing w:line="300" w:lineRule="auto"/>
        <w:ind w:firstLine="420" w:firstLineChars="200"/>
        <w:rPr>
          <w:rFonts w:ascii="Times New Roman" w:hAnsi="Times New Roman"/>
        </w:rPr>
      </w:pPr>
      <w:r>
        <w:rPr>
          <w:rFonts w:ascii="Times New Roman" w:hAnsi="Times New Roman"/>
        </w:rPr>
        <w:t>7.1.2</w:t>
      </w:r>
      <w:r>
        <w:rPr>
          <w:rFonts w:hint="eastAsia" w:ascii="Times New Roman" w:hAnsi="Times New Roman"/>
        </w:rPr>
        <w:t>评标委员会依据评标方法及评标细则，对投标文件进行评审和比较，向招标人提出书面评标报告，并按得分高低排列顺序，推荐</w:t>
      </w:r>
      <w:r>
        <w:rPr>
          <w:rFonts w:ascii="Times New Roman" w:hAnsi="Times New Roman"/>
        </w:rPr>
        <w:t>2</w:t>
      </w:r>
      <w:r>
        <w:rPr>
          <w:rFonts w:hint="eastAsia" w:ascii="Times New Roman" w:hAnsi="Times New Roman"/>
        </w:rPr>
        <w:t>名合格的中标候选人。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74A5ECCE">
      <w:pPr>
        <w:spacing w:line="300" w:lineRule="auto"/>
        <w:ind w:firstLine="420" w:firstLineChars="200"/>
        <w:rPr>
          <w:rFonts w:ascii="Times New Roman" w:hAnsi="Times New Roman"/>
          <w:color w:val="000000"/>
        </w:rPr>
      </w:pPr>
      <w:r>
        <w:rPr>
          <w:rFonts w:ascii="Times New Roman" w:hAnsi="Times New Roman"/>
          <w:color w:val="000000"/>
        </w:rPr>
        <w:t>7.1.3</w:t>
      </w:r>
      <w:r>
        <w:rPr>
          <w:rFonts w:hint="eastAsia" w:ascii="Times New Roman" w:hAnsi="Times New Roman"/>
          <w:color w:val="000000"/>
        </w:rPr>
        <w:t>编制评标报告</w:t>
      </w:r>
    </w:p>
    <w:p w14:paraId="1C7A86A9">
      <w:pPr>
        <w:spacing w:line="300" w:lineRule="auto"/>
        <w:ind w:firstLine="420" w:firstLineChars="200"/>
        <w:rPr>
          <w:rFonts w:ascii="Times New Roman" w:hAnsi="Times New Roman"/>
          <w:color w:val="000000"/>
        </w:rPr>
      </w:pPr>
      <w:r>
        <w:rPr>
          <w:rFonts w:hint="eastAsia" w:ascii="Times New Roman" w:hAnsi="Times New Roman"/>
          <w:color w:val="000000"/>
        </w:rPr>
        <w:t>评标委员会向招标人提交评标报告。评标报告应当由全体评标委员会成员签字。评标报告应当包括以下内容：</w:t>
      </w:r>
    </w:p>
    <w:p w14:paraId="238CC38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）基本情况和数据表；</w:t>
      </w:r>
    </w:p>
    <w:p w14:paraId="6A37075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）评标委员会成员名单；</w:t>
      </w:r>
    </w:p>
    <w:p w14:paraId="5C21458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）开标记录；</w:t>
      </w:r>
    </w:p>
    <w:p w14:paraId="037563B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）符合要求的投标一览表；</w:t>
      </w:r>
    </w:p>
    <w:p w14:paraId="497E961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）废标情况说明；</w:t>
      </w:r>
    </w:p>
    <w:p w14:paraId="1850651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）评标标准、评标方法或者评标因素一览表；</w:t>
      </w:r>
    </w:p>
    <w:p w14:paraId="5F44004B">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）经评审的价格一览表（包括评标委员会在评标过程中所形成的所有记载评标结果、结论的表格、说明、记录等文件）；</w:t>
      </w:r>
    </w:p>
    <w:p w14:paraId="4ECC39A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）经评审的投标人排序；</w:t>
      </w:r>
    </w:p>
    <w:p w14:paraId="0BCB9D0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9</w:t>
      </w:r>
      <w:r>
        <w:rPr>
          <w:rFonts w:hint="eastAsia" w:ascii="Times New Roman" w:hAnsi="Times New Roman"/>
          <w:color w:val="000000"/>
        </w:rPr>
        <w:t>）推荐的中标候选人名单与签订合同前要处理的事宜；</w:t>
      </w:r>
    </w:p>
    <w:p w14:paraId="1D549AB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10</w:t>
      </w:r>
      <w:r>
        <w:rPr>
          <w:rFonts w:hint="eastAsia" w:ascii="Times New Roman" w:hAnsi="Times New Roman"/>
          <w:color w:val="000000"/>
        </w:rPr>
        <w:t>）澄清、说明、补正事项纪要。</w:t>
      </w:r>
    </w:p>
    <w:p w14:paraId="51C14C81">
      <w:pPr>
        <w:spacing w:line="300" w:lineRule="auto"/>
        <w:ind w:firstLine="420" w:firstLineChars="200"/>
        <w:rPr>
          <w:rFonts w:ascii="Times New Roman" w:hAnsi="Times New Roman"/>
          <w:color w:val="000000"/>
        </w:rPr>
      </w:pPr>
      <w:r>
        <w:rPr>
          <w:rFonts w:ascii="Times New Roman" w:hAnsi="Times New Roman"/>
          <w:color w:val="000000"/>
        </w:rPr>
        <w:t>7.1.4</w:t>
      </w:r>
      <w:r>
        <w:rPr>
          <w:rFonts w:hint="eastAsia" w:ascii="Times New Roman" w:hAnsi="Times New Roman"/>
          <w:color w:val="000000"/>
        </w:rPr>
        <w:t>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FA0D6C3">
      <w:pPr>
        <w:spacing w:line="300" w:lineRule="auto"/>
        <w:ind w:firstLine="480"/>
        <w:rPr>
          <w:rFonts w:ascii="Times New Roman" w:hAnsi="Times New Roman"/>
          <w:color w:val="000000"/>
        </w:rPr>
      </w:pPr>
      <w:r>
        <w:rPr>
          <w:rFonts w:ascii="Times New Roman" w:hAnsi="Times New Roman"/>
          <w:color w:val="000000"/>
        </w:rPr>
        <w:t>7.1.5</w:t>
      </w:r>
      <w:r>
        <w:rPr>
          <w:rFonts w:hint="eastAsia" w:ascii="Times New Roman" w:hAnsi="Times New Roman"/>
          <w:color w:val="000000"/>
        </w:rPr>
        <w:t>向招标人提交书面评标报告后，评标委员会即告解散。招标人根据评标报告中推荐的中标候选人择优推荐，按流程报批后确定中标人。</w:t>
      </w:r>
    </w:p>
    <w:p w14:paraId="585BF83D">
      <w:pPr>
        <w:spacing w:line="300" w:lineRule="auto"/>
        <w:ind w:firstLine="420" w:firstLineChars="200"/>
        <w:rPr>
          <w:rFonts w:ascii="Times New Roman" w:hAnsi="Times New Roman"/>
          <w:color w:val="000000"/>
        </w:rPr>
      </w:pPr>
      <w:r>
        <w:rPr>
          <w:rFonts w:ascii="Times New Roman" w:hAnsi="Times New Roman"/>
          <w:color w:val="000000"/>
        </w:rPr>
        <w:t>7.1.6</w:t>
      </w:r>
      <w:r>
        <w:rPr>
          <w:rFonts w:hint="eastAsia" w:ascii="Times New Roman" w:hAnsi="Times New Roman"/>
          <w:color w:val="000000"/>
        </w:rPr>
        <w:t>评标委员会经评审，认为所有投标都不符合招标文件要求的，可以否决所有投标。所有投标被否决后，招标人应当依法重新招标。</w:t>
      </w:r>
    </w:p>
    <w:p w14:paraId="5B4F30AC">
      <w:pPr>
        <w:spacing w:line="300" w:lineRule="auto"/>
        <w:ind w:firstLine="420" w:firstLineChars="200"/>
        <w:rPr>
          <w:rFonts w:ascii="Times New Roman" w:hAnsi="Times New Roman"/>
          <w:b/>
          <w:color w:val="000000"/>
        </w:rPr>
      </w:pPr>
      <w:r>
        <w:rPr>
          <w:rFonts w:ascii="Times New Roman" w:hAnsi="Times New Roman"/>
          <w:color w:val="000000"/>
        </w:rPr>
        <w:t>7.1.7</w:t>
      </w:r>
      <w:r>
        <w:rPr>
          <w:rFonts w:hint="eastAsia" w:ascii="Times New Roman" w:hAnsi="Times New Roman"/>
          <w:color w:val="000000"/>
        </w:rPr>
        <w:t>特殊情况的处置程序</w:t>
      </w:r>
    </w:p>
    <w:p w14:paraId="080B21A3">
      <w:pPr>
        <w:spacing w:line="300" w:lineRule="auto"/>
        <w:ind w:firstLine="420" w:firstLineChars="200"/>
        <w:rPr>
          <w:rFonts w:ascii="Times New Roman" w:hAnsi="Times New Roman"/>
          <w:color w:val="000000"/>
        </w:rPr>
      </w:pPr>
      <w:r>
        <w:rPr>
          <w:rFonts w:ascii="Times New Roman" w:hAnsi="Times New Roman"/>
          <w:color w:val="000000"/>
        </w:rPr>
        <w:t>7.1.7.1</w:t>
      </w:r>
      <w:r>
        <w:rPr>
          <w:rFonts w:hint="eastAsia" w:ascii="Times New Roman" w:hAnsi="Times New Roman"/>
          <w:color w:val="000000"/>
        </w:rPr>
        <w:t>关于评标活动暂停</w:t>
      </w:r>
    </w:p>
    <w:p w14:paraId="2E1613F4">
      <w:pPr>
        <w:spacing w:line="300" w:lineRule="auto"/>
        <w:ind w:firstLine="420" w:firstLineChars="200"/>
        <w:rPr>
          <w:rFonts w:ascii="Times New Roman" w:hAnsi="Times New Roman"/>
          <w:color w:val="000000"/>
        </w:rPr>
      </w:pPr>
      <w:r>
        <w:rPr>
          <w:rFonts w:hint="eastAsia" w:ascii="Times New Roman" w:hAnsi="Times New Roman"/>
          <w:color w:val="000000"/>
        </w:rPr>
        <w:t>评标委员会应当执行连续评标的原则，按评标办法中规定的程序、内容、方法、标准完成全部评标工作。只有发生不可抗力导致评标工作无法继续时，评标活动方可暂停。</w:t>
      </w:r>
    </w:p>
    <w:p w14:paraId="200831CA">
      <w:pPr>
        <w:spacing w:line="300" w:lineRule="auto"/>
        <w:ind w:firstLine="420" w:firstLineChars="200"/>
        <w:rPr>
          <w:rFonts w:ascii="Times New Roman" w:hAnsi="Times New Roman"/>
          <w:color w:val="000000"/>
        </w:rPr>
      </w:pPr>
      <w:r>
        <w:rPr>
          <w:rFonts w:hint="eastAsia" w:ascii="Times New Roman" w:hAnsi="Times New Roman"/>
          <w:color w:val="000000"/>
        </w:rPr>
        <w:t>发生评标暂停情况时，评标委员会应当封存全部投标文件和评标记录，待不可抗力的影响结束且具备继续评标的条件时，由原评标委员会继续评标。</w:t>
      </w:r>
    </w:p>
    <w:p w14:paraId="756AC40F">
      <w:pPr>
        <w:spacing w:line="300" w:lineRule="auto"/>
        <w:ind w:firstLine="420" w:firstLineChars="200"/>
        <w:rPr>
          <w:rFonts w:ascii="Times New Roman" w:hAnsi="Times New Roman"/>
          <w:color w:val="000000"/>
        </w:rPr>
      </w:pPr>
      <w:r>
        <w:rPr>
          <w:rFonts w:ascii="Times New Roman" w:hAnsi="Times New Roman"/>
          <w:color w:val="000000"/>
        </w:rPr>
        <w:t>7.1.7.2</w:t>
      </w:r>
      <w:r>
        <w:rPr>
          <w:rFonts w:hint="eastAsia" w:ascii="Times New Roman" w:hAnsi="Times New Roman"/>
          <w:color w:val="000000"/>
        </w:rPr>
        <w:t>关于评标中途更换评委</w:t>
      </w:r>
    </w:p>
    <w:p w14:paraId="1BF05DB3">
      <w:pPr>
        <w:spacing w:line="300" w:lineRule="auto"/>
        <w:ind w:firstLine="420" w:firstLineChars="200"/>
        <w:rPr>
          <w:rFonts w:ascii="Times New Roman" w:hAnsi="Times New Roman"/>
          <w:color w:val="000000"/>
        </w:rPr>
      </w:pPr>
      <w:r>
        <w:rPr>
          <w:rFonts w:hint="eastAsia" w:ascii="Times New Roman" w:hAnsi="Times New Roman"/>
          <w:color w:val="000000"/>
        </w:rPr>
        <w:t>除非发生下列情况之一，评标委员会成员不得在评标中途更换：</w:t>
      </w:r>
    </w:p>
    <w:p w14:paraId="6F476561">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）因不可抗拒的客观原因，不能到场或需在评标中途退出评标活动。</w:t>
      </w:r>
    </w:p>
    <w:p w14:paraId="210933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）根据法律法规规定，某个或某几个评标委员会成员需要回避。</w:t>
      </w:r>
    </w:p>
    <w:p w14:paraId="7913FE61">
      <w:pPr>
        <w:spacing w:line="300" w:lineRule="auto"/>
        <w:ind w:firstLine="420" w:firstLineChars="200"/>
        <w:rPr>
          <w:rFonts w:ascii="Times New Roman" w:hAnsi="Times New Roman"/>
          <w:color w:val="000000"/>
        </w:rPr>
      </w:pPr>
      <w:r>
        <w:rPr>
          <w:rFonts w:hint="eastAsia" w:ascii="Times New Roman" w:hAnsi="Times New Roman"/>
          <w:color w:val="000000"/>
        </w:rPr>
        <w:t>退出评标的评标委员会成员，其已完成的评标行为无效。由招标人根据本招标文件规定的评标委员会成员产生方式另行确定替代者进行评标。</w:t>
      </w:r>
    </w:p>
    <w:p w14:paraId="0F12CC12">
      <w:pPr>
        <w:spacing w:line="300" w:lineRule="auto"/>
        <w:ind w:firstLine="420" w:firstLineChars="200"/>
        <w:rPr>
          <w:rFonts w:ascii="Times New Roman" w:hAnsi="Times New Roman"/>
          <w:color w:val="000000"/>
        </w:rPr>
      </w:pPr>
      <w:r>
        <w:rPr>
          <w:rFonts w:ascii="Times New Roman" w:hAnsi="Times New Roman"/>
          <w:color w:val="000000"/>
        </w:rPr>
        <w:t>7.1.7.3</w:t>
      </w:r>
      <w:r>
        <w:rPr>
          <w:rFonts w:hint="eastAsia" w:ascii="Times New Roman" w:hAnsi="Times New Roman"/>
          <w:color w:val="000000"/>
        </w:rPr>
        <w:t>关于记名投票表决评审结论</w:t>
      </w:r>
    </w:p>
    <w:p w14:paraId="5F2B99B1">
      <w:pPr>
        <w:spacing w:line="300" w:lineRule="auto"/>
        <w:ind w:firstLine="420" w:firstLineChars="200"/>
        <w:rPr>
          <w:rFonts w:ascii="Times New Roman" w:hAnsi="Times New Roman"/>
          <w:color w:val="000000"/>
        </w:rPr>
      </w:pPr>
      <w:r>
        <w:rPr>
          <w:rFonts w:hint="eastAsia" w:ascii="Times New Roman" w:hAnsi="Times New Roman"/>
          <w:color w:val="000000"/>
        </w:rPr>
        <w:t>在任何评标环节中，需评标委员会就某项定性的评审结论做出表决的，由评标委员会全体成员按照少数服从多数的原则，以记名投票方式表决。</w:t>
      </w:r>
    </w:p>
    <w:p w14:paraId="26B3FC43">
      <w:pPr>
        <w:pStyle w:val="4"/>
        <w:widowControl/>
        <w:spacing w:before="0" w:after="0" w:line="300" w:lineRule="auto"/>
        <w:rPr>
          <w:rFonts w:hint="eastAsia"/>
          <w:bCs w:val="0"/>
          <w:color w:val="000000"/>
        </w:rPr>
      </w:pPr>
      <w:bookmarkStart w:id="50" w:name="_Toc13548"/>
      <w:r>
        <w:rPr>
          <w:bCs w:val="0"/>
          <w:color w:val="000000"/>
        </w:rPr>
        <w:t>7.2</w:t>
      </w:r>
      <w:r>
        <w:rPr>
          <w:rFonts w:hint="eastAsia"/>
          <w:bCs w:val="0"/>
          <w:color w:val="000000"/>
        </w:rPr>
        <w:t>中标通知</w:t>
      </w:r>
      <w:bookmarkEnd w:id="50"/>
    </w:p>
    <w:p w14:paraId="61E14B76">
      <w:pPr>
        <w:spacing w:line="300" w:lineRule="auto"/>
        <w:ind w:firstLine="420" w:firstLineChars="200"/>
        <w:rPr>
          <w:rFonts w:ascii="Times New Roman" w:hAnsi="Times New Roman"/>
          <w:color w:val="000000"/>
        </w:rPr>
      </w:pPr>
      <w:r>
        <w:rPr>
          <w:rFonts w:ascii="Times New Roman" w:hAnsi="Times New Roman"/>
          <w:color w:val="000000"/>
        </w:rPr>
        <w:t>7.2.1</w:t>
      </w:r>
      <w:r>
        <w:rPr>
          <w:rFonts w:hint="eastAsia" w:ascii="Times New Roman" w:hAnsi="Times New Roman"/>
          <w:color w:val="000000"/>
        </w:rPr>
        <w:t>依法必须进行招标的项目，</w:t>
      </w:r>
      <w:r>
        <w:rPr>
          <w:rFonts w:hint="eastAsia" w:ascii="Times New Roman" w:hAnsi="Times New Roman"/>
          <w:color w:val="000000"/>
          <w:highlight w:val="none"/>
        </w:rPr>
        <w:t>公示期不得少于</w:t>
      </w:r>
      <w:r>
        <w:rPr>
          <w:rFonts w:ascii="Times New Roman" w:hAnsi="Times New Roman"/>
          <w:color w:val="000000"/>
          <w:highlight w:val="none"/>
        </w:rPr>
        <w:t>3</w:t>
      </w:r>
      <w:r>
        <w:rPr>
          <w:rFonts w:hint="eastAsia" w:ascii="Times New Roman" w:hAnsi="Times New Roman"/>
          <w:color w:val="000000"/>
          <w:highlight w:val="none"/>
        </w:rPr>
        <w:t>个</w:t>
      </w:r>
      <w:r>
        <w:rPr>
          <w:rFonts w:hint="eastAsia" w:ascii="Times New Roman" w:hAnsi="Times New Roman"/>
          <w:color w:val="000000"/>
          <w:highlight w:val="none"/>
          <w:lang w:val="en-US" w:eastAsia="zh-CN"/>
        </w:rPr>
        <w:t>日历天</w:t>
      </w:r>
      <w:r>
        <w:rPr>
          <w:rFonts w:hint="eastAsia" w:ascii="Times New Roman" w:hAnsi="Times New Roman"/>
          <w:color w:val="000000"/>
        </w:rPr>
        <w:t>。公示期满未有异议</w:t>
      </w:r>
      <w:r>
        <w:rPr>
          <w:rFonts w:hint="eastAsia" w:ascii="Times New Roman" w:hAnsi="Times New Roman"/>
          <w:b/>
          <w:color w:val="000000"/>
        </w:rPr>
        <w:t>，</w:t>
      </w:r>
      <w:r>
        <w:rPr>
          <w:rFonts w:hint="eastAsia" w:ascii="Times New Roman" w:hAnsi="Times New Roman"/>
          <w:color w:val="000000"/>
        </w:rPr>
        <w:t>招标人以《中标通知书》的方式通知中标人其投标被接受。</w:t>
      </w:r>
    </w:p>
    <w:p w14:paraId="1B18E5C1">
      <w:pPr>
        <w:spacing w:line="300" w:lineRule="auto"/>
        <w:ind w:firstLine="420" w:firstLineChars="200"/>
        <w:rPr>
          <w:rFonts w:ascii="Times New Roman" w:hAnsi="Times New Roman"/>
          <w:color w:val="000000"/>
        </w:rPr>
      </w:pPr>
      <w:r>
        <w:rPr>
          <w:rFonts w:ascii="Times New Roman" w:hAnsi="Times New Roman"/>
          <w:color w:val="000000"/>
        </w:rPr>
        <w:t>7.2.2</w:t>
      </w:r>
      <w:r>
        <w:rPr>
          <w:rFonts w:hint="eastAsia" w:ascii="Times New Roman" w:hAnsi="Times New Roman"/>
          <w:color w:val="000000"/>
        </w:rPr>
        <w:t>《中标通知书》将作为施工合同的组成部分。中标通知书发出后，招标人改变中标结果的，或者中标人放弃中标的，应当依法承担法律责任。</w:t>
      </w:r>
    </w:p>
    <w:p w14:paraId="2532E891">
      <w:pPr>
        <w:pStyle w:val="4"/>
        <w:widowControl/>
        <w:spacing w:before="0" w:after="0" w:line="300" w:lineRule="auto"/>
        <w:rPr>
          <w:rFonts w:hint="eastAsia"/>
          <w:bCs w:val="0"/>
          <w:color w:val="000000"/>
        </w:rPr>
      </w:pPr>
      <w:bookmarkStart w:id="51" w:name="_Toc25066"/>
      <w:r>
        <w:rPr>
          <w:bCs w:val="0"/>
          <w:color w:val="000000"/>
        </w:rPr>
        <w:t xml:space="preserve">7.3 </w:t>
      </w:r>
      <w:r>
        <w:rPr>
          <w:rFonts w:hint="eastAsia"/>
          <w:bCs w:val="0"/>
          <w:color w:val="000000"/>
        </w:rPr>
        <w:t>履约担保</w:t>
      </w:r>
      <w:bookmarkEnd w:id="51"/>
    </w:p>
    <w:p w14:paraId="2D10D925">
      <w:pPr>
        <w:spacing w:line="300" w:lineRule="auto"/>
        <w:ind w:firstLine="420" w:firstLineChars="200"/>
        <w:rPr>
          <w:rFonts w:ascii="Times New Roman" w:hAnsi="Times New Roman"/>
          <w:color w:val="000000"/>
        </w:rPr>
      </w:pPr>
      <w:r>
        <w:rPr>
          <w:rFonts w:hint="eastAsia" w:ascii="Times New Roman" w:hAnsi="Times New Roman"/>
          <w:color w:val="000000"/>
        </w:rPr>
        <w:t>详见投标人须知前附表。</w:t>
      </w:r>
    </w:p>
    <w:p w14:paraId="7A672B71">
      <w:pPr>
        <w:pStyle w:val="4"/>
        <w:widowControl/>
        <w:spacing w:before="0" w:after="0" w:line="300" w:lineRule="auto"/>
        <w:rPr>
          <w:rFonts w:hint="eastAsia"/>
          <w:bCs w:val="0"/>
          <w:color w:val="000000"/>
        </w:rPr>
      </w:pPr>
      <w:bookmarkStart w:id="52" w:name="_Toc21386"/>
      <w:r>
        <w:rPr>
          <w:bCs w:val="0"/>
          <w:color w:val="000000"/>
        </w:rPr>
        <w:t xml:space="preserve">7.4 </w:t>
      </w:r>
      <w:r>
        <w:rPr>
          <w:rFonts w:hint="eastAsia"/>
          <w:bCs w:val="0"/>
          <w:color w:val="000000"/>
        </w:rPr>
        <w:t>签订合同</w:t>
      </w:r>
      <w:bookmarkEnd w:id="52"/>
    </w:p>
    <w:p w14:paraId="62FA876F">
      <w:pPr>
        <w:spacing w:line="300" w:lineRule="auto"/>
        <w:ind w:firstLine="420" w:firstLineChars="200"/>
        <w:rPr>
          <w:rFonts w:ascii="Times New Roman" w:hAnsi="Times New Roman"/>
          <w:b/>
          <w:color w:val="000000"/>
        </w:rPr>
      </w:pPr>
      <w:r>
        <w:rPr>
          <w:rFonts w:ascii="Times New Roman" w:hAnsi="Times New Roman"/>
          <w:color w:val="000000"/>
        </w:rPr>
        <w:t>7.4.1</w:t>
      </w:r>
      <w:r>
        <w:rPr>
          <w:rFonts w:hint="eastAsia" w:ascii="Times New Roman" w:hAnsi="Times New Roman"/>
          <w:color w:val="000000"/>
        </w:rPr>
        <w:t>招标人与中标人应自中标通知书发出之日起10日内，按照招标文件和中标人的投标文件订立书面合同。</w:t>
      </w:r>
    </w:p>
    <w:p w14:paraId="402A910E">
      <w:pPr>
        <w:spacing w:line="300" w:lineRule="auto"/>
        <w:ind w:firstLine="420" w:firstLineChars="200"/>
        <w:rPr>
          <w:rFonts w:ascii="Times New Roman" w:hAnsi="Times New Roman"/>
          <w:color w:val="000000"/>
        </w:rPr>
      </w:pPr>
      <w:r>
        <w:rPr>
          <w:rFonts w:ascii="Times New Roman" w:hAnsi="Times New Roman"/>
          <w:color w:val="000000"/>
        </w:rPr>
        <w:t>7.4.2</w:t>
      </w:r>
      <w:r>
        <w:rPr>
          <w:rFonts w:hint="eastAsia" w:ascii="Times New Roman" w:hAnsi="Times New Roman"/>
          <w:color w:val="000000"/>
        </w:rPr>
        <w:t>中标人如不按本招标文件的规定与招标人订立合同，则招标人将取消其中标资格，投标保证金不予退还，给招标人造成的损失超过投标保证金数额的，还应当对超出部分予以赔偿，并依法承担相应的法律责任。</w:t>
      </w:r>
    </w:p>
    <w:p w14:paraId="3C0B96DC">
      <w:pPr>
        <w:spacing w:line="300" w:lineRule="auto"/>
        <w:ind w:firstLine="420" w:firstLineChars="200"/>
        <w:rPr>
          <w:rFonts w:ascii="Times New Roman" w:hAnsi="Times New Roman"/>
          <w:color w:val="000000"/>
        </w:rPr>
      </w:pPr>
      <w:r>
        <w:rPr>
          <w:rFonts w:ascii="Times New Roman" w:hAnsi="Times New Roman"/>
          <w:color w:val="000000"/>
        </w:rPr>
        <w:t xml:space="preserve">7.4.3 </w:t>
      </w:r>
      <w:r>
        <w:rPr>
          <w:rFonts w:hint="eastAsia" w:ascii="Times New Roman" w:hAnsi="Times New Roman"/>
          <w:color w:val="000000"/>
        </w:rPr>
        <w:t>发出中标通知书后，招标人无正当理由拒签合同的，招标人向中标人退还投标保证金；给中标人造成损失的，还应当赔偿损失。</w:t>
      </w:r>
    </w:p>
    <w:p w14:paraId="23A7486C">
      <w:pPr>
        <w:spacing w:line="300" w:lineRule="auto"/>
        <w:ind w:firstLine="420" w:firstLineChars="200"/>
        <w:rPr>
          <w:rFonts w:ascii="Times New Roman" w:hAnsi="Times New Roman"/>
          <w:color w:val="000000"/>
        </w:rPr>
      </w:pPr>
      <w:r>
        <w:rPr>
          <w:rFonts w:ascii="Times New Roman" w:hAnsi="Times New Roman"/>
          <w:color w:val="000000"/>
        </w:rPr>
        <w:t>7.4.4</w:t>
      </w:r>
      <w:r>
        <w:rPr>
          <w:rFonts w:hint="eastAsia" w:ascii="Times New Roman" w:hAnsi="Times New Roman"/>
          <w:color w:val="000000"/>
        </w:rPr>
        <w:t>中标人应当按照合同约定履行义务，完成中标项目，不得将中标项目转包或违规分包。否则，将依照相关法律法规进行处理。</w:t>
      </w:r>
    </w:p>
    <w:p w14:paraId="63920A2F">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7.4.5</w:t>
      </w:r>
      <w:r>
        <w:rPr>
          <w:rFonts w:hint="eastAsia" w:ascii="Times New Roman" w:hAnsi="Times New Roman"/>
          <w:color w:val="000000"/>
        </w:rPr>
        <w:t>中标人于中标通知书签订之日起按照最新图纸、竞争谈判中的报价文件等调整最终报价，并经招标人审计监察部门认可。招标人与中标人按照调整后的最终报价文件签订建设工程合同。</w:t>
      </w:r>
    </w:p>
    <w:p w14:paraId="749D9AB1">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7.4.6</w:t>
      </w:r>
      <w:r>
        <w:rPr>
          <w:rFonts w:hint="eastAsia" w:ascii="Times New Roman" w:hAnsi="Times New Roman"/>
          <w:color w:val="000000"/>
        </w:rPr>
        <w:t>本招标文件有关条款将作为合同的基本条款，如投标人对此有异议，可在招标答疑时提出。如无异议，表示投标人接受和认可文件中条款，不得在中标后签订合同时提出异议，否则将取消中标资格，投标保证金不予退回，由招标人另行确定中标人。</w:t>
      </w:r>
    </w:p>
    <w:p w14:paraId="5D446E89">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7.4.7</w:t>
      </w:r>
      <w:r>
        <w:rPr>
          <w:rFonts w:hint="eastAsia" w:ascii="Times New Roman" w:hAnsi="Times New Roman"/>
          <w:color w:val="000000"/>
        </w:rPr>
        <w:t>中标人须在不调整中标总价的前提下，对招标人提出的不平衡报价进行调整，否则招标人有权取消投标人的中标资格。调整后的全费用综合单价作为合同附件，属于合同的组成部分。</w:t>
      </w:r>
    </w:p>
    <w:p w14:paraId="25516FE3">
      <w:pPr>
        <w:pStyle w:val="161"/>
        <w:widowControl/>
        <w:spacing w:before="0" w:line="300" w:lineRule="auto"/>
        <w:rPr>
          <w:color w:val="000000"/>
          <w:sz w:val="30"/>
          <w:szCs w:val="30"/>
        </w:rPr>
      </w:pPr>
      <w:bookmarkStart w:id="53" w:name="_Toc19919"/>
      <w:r>
        <w:rPr>
          <w:color w:val="000000"/>
          <w:sz w:val="30"/>
          <w:szCs w:val="30"/>
        </w:rPr>
        <w:t xml:space="preserve">8. </w:t>
      </w:r>
      <w:r>
        <w:rPr>
          <w:rFonts w:hint="eastAsia"/>
          <w:color w:val="000000"/>
          <w:sz w:val="30"/>
          <w:szCs w:val="30"/>
        </w:rPr>
        <w:t>重新招标</w:t>
      </w:r>
      <w:bookmarkEnd w:id="53"/>
    </w:p>
    <w:p w14:paraId="403E2371">
      <w:pPr>
        <w:pStyle w:val="4"/>
        <w:widowControl/>
        <w:spacing w:before="0" w:after="0" w:line="300" w:lineRule="auto"/>
        <w:rPr>
          <w:rFonts w:hint="eastAsia"/>
          <w:bCs w:val="0"/>
          <w:color w:val="000000"/>
        </w:rPr>
      </w:pPr>
      <w:bookmarkStart w:id="54" w:name="_Toc1733"/>
      <w:r>
        <w:rPr>
          <w:bCs w:val="0"/>
          <w:color w:val="000000"/>
        </w:rPr>
        <w:t xml:space="preserve">8.1 </w:t>
      </w:r>
      <w:r>
        <w:rPr>
          <w:rFonts w:hint="eastAsia"/>
          <w:bCs w:val="0"/>
          <w:color w:val="000000"/>
        </w:rPr>
        <w:t>重新招标</w:t>
      </w:r>
      <w:bookmarkEnd w:id="54"/>
    </w:p>
    <w:p w14:paraId="2AE286EF">
      <w:pPr>
        <w:spacing w:line="300" w:lineRule="auto"/>
        <w:ind w:firstLine="420" w:firstLineChars="200"/>
        <w:rPr>
          <w:rFonts w:ascii="Times New Roman" w:hAnsi="Times New Roman"/>
          <w:color w:val="000000"/>
        </w:rPr>
      </w:pPr>
      <w:r>
        <w:rPr>
          <w:rFonts w:hint="eastAsia" w:ascii="Times New Roman" w:hAnsi="Times New Roman"/>
          <w:color w:val="000000"/>
        </w:rPr>
        <w:t>有下列情形之一的，招标人将重新招标：</w:t>
      </w:r>
    </w:p>
    <w:p w14:paraId="4F5F5358">
      <w:pPr>
        <w:spacing w:line="300" w:lineRule="auto"/>
        <w:ind w:firstLine="359" w:firstLineChars="171"/>
        <w:rPr>
          <w:rFonts w:ascii="Times New Roman" w:hAnsi="Times New Roman"/>
          <w:color w:val="000000"/>
        </w:rPr>
      </w:pPr>
      <w:r>
        <w:rPr>
          <w:rFonts w:ascii="Times New Roman" w:hAnsi="Times New Roman"/>
          <w:color w:val="000000"/>
        </w:rPr>
        <w:t>8.1.1</w:t>
      </w:r>
      <w:r>
        <w:rPr>
          <w:rFonts w:hint="eastAsia" w:ascii="Times New Roman" w:hAnsi="Times New Roman"/>
          <w:color w:val="000000"/>
        </w:rPr>
        <w:t>在投标截止时间时提交投标文件的投标人少于</w:t>
      </w:r>
      <w:r>
        <w:rPr>
          <w:rFonts w:ascii="Times New Roman" w:hAnsi="Times New Roman"/>
          <w:color w:val="000000"/>
        </w:rPr>
        <w:t>3</w:t>
      </w:r>
      <w:r>
        <w:rPr>
          <w:rFonts w:hint="eastAsia" w:ascii="Times New Roman" w:hAnsi="Times New Roman"/>
          <w:color w:val="000000"/>
        </w:rPr>
        <w:t>个的；</w:t>
      </w:r>
    </w:p>
    <w:p w14:paraId="170D2C9D">
      <w:pPr>
        <w:spacing w:line="300" w:lineRule="auto"/>
        <w:ind w:firstLine="359" w:firstLineChars="171"/>
        <w:rPr>
          <w:rFonts w:ascii="Times New Roman" w:hAnsi="Times New Roman"/>
          <w:color w:val="000000"/>
        </w:rPr>
      </w:pPr>
      <w:r>
        <w:rPr>
          <w:rFonts w:ascii="Times New Roman" w:hAnsi="Times New Roman"/>
          <w:color w:val="000000"/>
        </w:rPr>
        <w:t>8.1.2</w:t>
      </w:r>
      <w:r>
        <w:rPr>
          <w:rFonts w:hint="eastAsia" w:ascii="Times New Roman" w:hAnsi="Times New Roman"/>
          <w:color w:val="000000"/>
        </w:rPr>
        <w:t>所有投标均被否决的。</w:t>
      </w:r>
    </w:p>
    <w:p w14:paraId="6F754E1C">
      <w:pPr>
        <w:pStyle w:val="161"/>
        <w:widowControl/>
        <w:spacing w:before="0" w:line="300" w:lineRule="auto"/>
        <w:rPr>
          <w:color w:val="000000"/>
          <w:sz w:val="30"/>
          <w:szCs w:val="30"/>
        </w:rPr>
      </w:pPr>
      <w:bookmarkStart w:id="55" w:name="_Toc25859"/>
      <w:r>
        <w:rPr>
          <w:color w:val="000000"/>
          <w:sz w:val="30"/>
          <w:szCs w:val="30"/>
        </w:rPr>
        <w:t xml:space="preserve">9. </w:t>
      </w:r>
      <w:r>
        <w:rPr>
          <w:rFonts w:hint="eastAsia"/>
          <w:color w:val="000000"/>
          <w:sz w:val="30"/>
          <w:szCs w:val="30"/>
        </w:rPr>
        <w:t>纪律和监督</w:t>
      </w:r>
      <w:bookmarkEnd w:id="55"/>
    </w:p>
    <w:p w14:paraId="02428887">
      <w:pPr>
        <w:pStyle w:val="4"/>
        <w:widowControl/>
        <w:spacing w:before="0" w:after="0" w:line="300" w:lineRule="auto"/>
        <w:rPr>
          <w:rFonts w:hint="eastAsia"/>
          <w:bCs w:val="0"/>
          <w:color w:val="000000"/>
        </w:rPr>
      </w:pPr>
      <w:bookmarkStart w:id="56" w:name="_Toc28058"/>
      <w:r>
        <w:rPr>
          <w:bCs w:val="0"/>
          <w:color w:val="000000"/>
        </w:rPr>
        <w:t xml:space="preserve">9.1 </w:t>
      </w:r>
      <w:r>
        <w:rPr>
          <w:rFonts w:hint="eastAsia"/>
          <w:bCs w:val="0"/>
          <w:color w:val="000000"/>
        </w:rPr>
        <w:t>对招标人的纪律要求</w:t>
      </w:r>
      <w:bookmarkEnd w:id="56"/>
    </w:p>
    <w:p w14:paraId="4D7C5C5D">
      <w:pPr>
        <w:spacing w:line="300" w:lineRule="auto"/>
        <w:ind w:firstLine="420" w:firstLineChars="200"/>
        <w:rPr>
          <w:rFonts w:ascii="Times New Roman" w:hAnsi="Times New Roman"/>
          <w:color w:val="000000"/>
        </w:rPr>
      </w:pPr>
      <w:r>
        <w:rPr>
          <w:rFonts w:hint="eastAsia" w:ascii="Times New Roman" w:hAnsi="Times New Roman"/>
          <w:color w:val="000000"/>
        </w:rPr>
        <w:t>招标人不得泄漏招标投标活动中应当保密的情况和资料，不得与投标人串通损害国家利益、社会公共利益和他人合法权益。</w:t>
      </w:r>
    </w:p>
    <w:p w14:paraId="36F033E7">
      <w:pPr>
        <w:pStyle w:val="4"/>
        <w:widowControl/>
        <w:spacing w:before="0" w:after="0" w:line="300" w:lineRule="auto"/>
        <w:rPr>
          <w:rFonts w:hint="eastAsia"/>
          <w:bCs w:val="0"/>
          <w:color w:val="000000"/>
        </w:rPr>
      </w:pPr>
      <w:bookmarkStart w:id="57" w:name="_Toc28116"/>
      <w:r>
        <w:rPr>
          <w:bCs w:val="0"/>
          <w:color w:val="000000"/>
        </w:rPr>
        <w:t xml:space="preserve">9.2 </w:t>
      </w:r>
      <w:r>
        <w:rPr>
          <w:rFonts w:hint="eastAsia"/>
          <w:bCs w:val="0"/>
          <w:color w:val="000000"/>
        </w:rPr>
        <w:t>对投标人的纪律要求</w:t>
      </w:r>
      <w:bookmarkEnd w:id="57"/>
    </w:p>
    <w:p w14:paraId="380406C6">
      <w:pPr>
        <w:spacing w:line="300" w:lineRule="auto"/>
        <w:ind w:firstLine="420" w:firstLineChars="200"/>
        <w:rPr>
          <w:rFonts w:ascii="Times New Roman" w:hAnsi="Times New Roman"/>
          <w:color w:val="000000"/>
        </w:rPr>
      </w:pPr>
      <w:r>
        <w:rPr>
          <w:rFonts w:hint="eastAsia" w:ascii="Times New Roman" w:hAnsi="Times New Roman"/>
          <w:color w:val="000000"/>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D84BC50">
      <w:pPr>
        <w:pStyle w:val="4"/>
        <w:widowControl/>
        <w:spacing w:before="0" w:after="0" w:line="300" w:lineRule="auto"/>
        <w:rPr>
          <w:rFonts w:hint="eastAsia"/>
          <w:bCs w:val="0"/>
          <w:color w:val="000000"/>
        </w:rPr>
      </w:pPr>
      <w:bookmarkStart w:id="58" w:name="_Toc21335"/>
      <w:r>
        <w:rPr>
          <w:bCs w:val="0"/>
          <w:color w:val="000000"/>
        </w:rPr>
        <w:t xml:space="preserve">9.3 </w:t>
      </w:r>
      <w:r>
        <w:rPr>
          <w:rFonts w:hint="eastAsia"/>
          <w:bCs w:val="0"/>
          <w:color w:val="000000"/>
        </w:rPr>
        <w:t>对评标委员会成员的纪律要求</w:t>
      </w:r>
      <w:bookmarkEnd w:id="58"/>
    </w:p>
    <w:p w14:paraId="38390F7F">
      <w:pPr>
        <w:spacing w:line="300" w:lineRule="auto"/>
        <w:ind w:firstLine="420" w:firstLineChars="200"/>
        <w:rPr>
          <w:rFonts w:ascii="Times New Roman" w:hAnsi="Times New Roman"/>
          <w:color w:val="000000"/>
        </w:rPr>
      </w:pPr>
      <w:r>
        <w:rPr>
          <w:rFonts w:hint="eastAsia" w:ascii="Times New Roman" w:hAnsi="Times New Roman"/>
          <w:color w:val="000000"/>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第三章</w:t>
      </w:r>
      <w:r>
        <w:rPr>
          <w:rFonts w:ascii="Times New Roman" w:hAnsi="Times New Roman"/>
          <w:color w:val="000000"/>
        </w:rPr>
        <w:t>“</w:t>
      </w:r>
      <w:r>
        <w:rPr>
          <w:rFonts w:hint="eastAsia" w:ascii="Times New Roman" w:hAnsi="Times New Roman"/>
          <w:color w:val="000000"/>
        </w:rPr>
        <w:t>评标办法</w:t>
      </w:r>
      <w:r>
        <w:rPr>
          <w:rFonts w:ascii="Times New Roman" w:hAnsi="Times New Roman"/>
          <w:color w:val="000000"/>
        </w:rPr>
        <w:t>”</w:t>
      </w:r>
      <w:r>
        <w:rPr>
          <w:rFonts w:hint="eastAsia" w:ascii="Times New Roman" w:hAnsi="Times New Roman"/>
          <w:color w:val="000000"/>
        </w:rPr>
        <w:t>没有规定的评审因素和标准进行评标。</w:t>
      </w:r>
    </w:p>
    <w:p w14:paraId="00144B17">
      <w:pPr>
        <w:pStyle w:val="4"/>
        <w:widowControl/>
        <w:spacing w:before="0" w:after="0" w:line="300" w:lineRule="auto"/>
        <w:rPr>
          <w:rFonts w:hint="eastAsia"/>
          <w:bCs w:val="0"/>
          <w:color w:val="000000"/>
        </w:rPr>
      </w:pPr>
      <w:bookmarkStart w:id="59" w:name="_Toc5031"/>
      <w:r>
        <w:rPr>
          <w:bCs w:val="0"/>
          <w:color w:val="000000"/>
        </w:rPr>
        <w:t xml:space="preserve">9.4 </w:t>
      </w:r>
      <w:r>
        <w:rPr>
          <w:rFonts w:hint="eastAsia"/>
          <w:bCs w:val="0"/>
          <w:color w:val="000000"/>
        </w:rPr>
        <w:t>对与评标活动有关的工作人员的纪律要求</w:t>
      </w:r>
      <w:bookmarkEnd w:id="59"/>
    </w:p>
    <w:p w14:paraId="25915D91">
      <w:pPr>
        <w:spacing w:line="300" w:lineRule="auto"/>
        <w:ind w:firstLine="420" w:firstLineChars="200"/>
        <w:rPr>
          <w:rFonts w:ascii="Times New Roman" w:hAnsi="Times New Roman"/>
          <w:color w:val="000000"/>
        </w:rPr>
      </w:pPr>
      <w:r>
        <w:rPr>
          <w:rFonts w:hint="eastAsia" w:ascii="Times New Roman" w:hAnsi="Times New Roman"/>
          <w:color w:val="000000"/>
        </w:rPr>
        <w:t>与评标活动有关的工作人员不得收受他人的财物或者其他好处，不得向他人透漏对投标文件的评审和比较、中标候选人的推荐情况以及与评标有关的其他情况。在评标活动中，与评标活动有关的工作人员不得擅离职守，影响评标程序正常进行。</w:t>
      </w:r>
    </w:p>
    <w:p w14:paraId="54BF3D99">
      <w:pPr>
        <w:pStyle w:val="4"/>
        <w:widowControl/>
        <w:spacing w:before="0" w:after="0" w:line="300" w:lineRule="auto"/>
        <w:rPr>
          <w:rFonts w:hint="eastAsia"/>
          <w:bCs w:val="0"/>
          <w:color w:val="000000"/>
        </w:rPr>
      </w:pPr>
      <w:bookmarkStart w:id="60" w:name="_Toc21978"/>
      <w:r>
        <w:rPr>
          <w:bCs w:val="0"/>
          <w:color w:val="000000"/>
        </w:rPr>
        <w:t xml:space="preserve">9.5 </w:t>
      </w:r>
      <w:r>
        <w:rPr>
          <w:rFonts w:hint="eastAsia"/>
          <w:bCs w:val="0"/>
          <w:color w:val="000000"/>
        </w:rPr>
        <w:t>投诉</w:t>
      </w:r>
      <w:bookmarkEnd w:id="60"/>
    </w:p>
    <w:p w14:paraId="47AAE75B">
      <w:pPr>
        <w:spacing w:line="300" w:lineRule="auto"/>
        <w:ind w:firstLine="420" w:firstLineChars="200"/>
        <w:rPr>
          <w:rFonts w:ascii="Times New Roman" w:hAnsi="Times New Roman"/>
          <w:color w:val="000000"/>
        </w:rPr>
      </w:pPr>
      <w:r>
        <w:rPr>
          <w:rFonts w:hint="eastAsia" w:ascii="Times New Roman" w:hAnsi="Times New Roman"/>
          <w:color w:val="000000"/>
        </w:rPr>
        <w:t>投标人和其他利害关系人认为本次招标投标活动违反法律、法规和规章规定的，有权向济钢集团公司相关部门投诉。</w:t>
      </w:r>
    </w:p>
    <w:p w14:paraId="027A608F">
      <w:pPr>
        <w:pStyle w:val="161"/>
        <w:widowControl/>
        <w:spacing w:before="0" w:line="300" w:lineRule="auto"/>
        <w:rPr>
          <w:color w:val="000000"/>
          <w:sz w:val="30"/>
          <w:szCs w:val="30"/>
        </w:rPr>
      </w:pPr>
      <w:bookmarkStart w:id="61" w:name="_Toc17609"/>
      <w:r>
        <w:rPr>
          <w:color w:val="000000"/>
          <w:sz w:val="30"/>
          <w:szCs w:val="30"/>
        </w:rPr>
        <w:t xml:space="preserve">10. </w:t>
      </w:r>
      <w:r>
        <w:rPr>
          <w:rFonts w:hint="eastAsia"/>
          <w:color w:val="000000"/>
          <w:sz w:val="30"/>
          <w:szCs w:val="30"/>
        </w:rPr>
        <w:t>需要补充的其他内容</w:t>
      </w:r>
      <w:bookmarkEnd w:id="61"/>
    </w:p>
    <w:p w14:paraId="2BD700E7">
      <w:pPr>
        <w:spacing w:line="300" w:lineRule="auto"/>
        <w:ind w:firstLine="420" w:firstLineChars="200"/>
        <w:rPr>
          <w:rFonts w:ascii="Times New Roman" w:hAnsi="Times New Roman"/>
          <w:color w:val="000000"/>
        </w:rPr>
      </w:pPr>
      <w:r>
        <w:rPr>
          <w:rFonts w:hint="eastAsia" w:ascii="Times New Roman" w:hAnsi="Times New Roman"/>
          <w:color w:val="000000"/>
        </w:rPr>
        <w:t>需要补充的其他内容：见投标人须知前附表。</w:t>
      </w:r>
    </w:p>
    <w:p w14:paraId="724A652D">
      <w:pPr>
        <w:spacing w:line="300" w:lineRule="auto"/>
        <w:ind w:firstLine="315" w:firstLineChars="150"/>
        <w:jc w:val="center"/>
        <w:rPr>
          <w:rFonts w:ascii="Times New Roman" w:hAnsi="Times New Roman"/>
          <w:b/>
          <w:color w:val="000000"/>
          <w:sz w:val="24"/>
        </w:rPr>
      </w:pPr>
      <w:r>
        <w:rPr>
          <w:rFonts w:ascii="Times New Roman" w:hAnsi="Times New Roman"/>
          <w:color w:val="000000"/>
          <w:kern w:val="0"/>
        </w:rPr>
        <w:br w:type="page"/>
      </w:r>
      <w:bookmarkEnd w:id="9"/>
    </w:p>
    <w:p w14:paraId="2B18563A">
      <w:pPr>
        <w:pStyle w:val="179"/>
        <w:keepNext w:val="0"/>
        <w:keepLines w:val="0"/>
        <w:widowControl/>
        <w:spacing w:before="0" w:after="0" w:line="300" w:lineRule="auto"/>
        <w:ind w:firstLine="216"/>
        <w:jc w:val="center"/>
        <w:outlineLvl w:val="0"/>
        <w:rPr>
          <w:rFonts w:ascii="Times New Roman" w:hAnsi="Times New Roman"/>
          <w:b/>
          <w:bCs w:val="0"/>
          <w:i w:val="0"/>
          <w:color w:val="000000"/>
          <w:kern w:val="2"/>
          <w:sz w:val="44"/>
          <w:szCs w:val="44"/>
        </w:rPr>
      </w:pPr>
      <w:bookmarkStart w:id="62" w:name="_Toc23191"/>
      <w:r>
        <w:rPr>
          <w:rFonts w:hint="eastAsia" w:ascii="Times New Roman" w:hAnsi="Times New Roman"/>
          <w:b/>
          <w:bCs w:val="0"/>
          <w:i w:val="0"/>
          <w:color w:val="000000"/>
          <w:kern w:val="2"/>
          <w:sz w:val="44"/>
          <w:szCs w:val="44"/>
        </w:rPr>
        <w:t>第三章 评标办法（综合评估法）</w:t>
      </w:r>
      <w:bookmarkEnd w:id="10"/>
      <w:bookmarkEnd w:id="62"/>
    </w:p>
    <w:p w14:paraId="05173A87">
      <w:pPr>
        <w:pStyle w:val="161"/>
        <w:widowControl/>
        <w:spacing w:before="120" w:after="240" w:line="360" w:lineRule="exact"/>
        <w:ind w:firstLine="160" w:firstLineChars="50"/>
        <w:jc w:val="center"/>
        <w:rPr>
          <w:rFonts w:hint="eastAsia"/>
          <w:b/>
          <w:sz w:val="32"/>
          <w:szCs w:val="32"/>
        </w:rPr>
      </w:pPr>
      <w:bookmarkStart w:id="63" w:name="_Toc256000069"/>
      <w:bookmarkStart w:id="64" w:name="_Toc487980625"/>
      <w:bookmarkStart w:id="65" w:name="_Toc179632627"/>
      <w:r>
        <w:rPr>
          <w:rFonts w:hint="eastAsia"/>
          <w:sz w:val="32"/>
          <w:szCs w:val="32"/>
        </w:rPr>
        <w:t xml:space="preserve"> (一)技术标评分标准（</w:t>
      </w:r>
      <w:r>
        <w:rPr>
          <w:rFonts w:hint="eastAsia"/>
          <w:sz w:val="32"/>
          <w:szCs w:val="32"/>
          <w:lang w:val="en-US" w:eastAsia="zh-CN"/>
        </w:rPr>
        <w:t>3</w:t>
      </w:r>
      <w:r>
        <w:rPr>
          <w:rFonts w:hint="eastAsia"/>
          <w:sz w:val="32"/>
          <w:szCs w:val="32"/>
        </w:rPr>
        <w:t>0分）</w:t>
      </w:r>
    </w:p>
    <w:tbl>
      <w:tblPr>
        <w:tblStyle w:val="47"/>
        <w:tblW w:w="9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430"/>
        <w:gridCol w:w="694"/>
        <w:gridCol w:w="6613"/>
      </w:tblGrid>
      <w:tr w14:paraId="0EDD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37" w:type="dxa"/>
            <w:gridSpan w:val="2"/>
            <w:vAlign w:val="center"/>
          </w:tcPr>
          <w:p w14:paraId="2A84C4B7">
            <w:pPr>
              <w:spacing w:line="30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评分项目</w:t>
            </w:r>
          </w:p>
        </w:tc>
        <w:tc>
          <w:tcPr>
            <w:tcW w:w="694" w:type="dxa"/>
          </w:tcPr>
          <w:p w14:paraId="24AB52C4">
            <w:pPr>
              <w:spacing w:line="30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分值</w:t>
            </w:r>
          </w:p>
        </w:tc>
        <w:tc>
          <w:tcPr>
            <w:tcW w:w="6613" w:type="dxa"/>
            <w:vAlign w:val="center"/>
          </w:tcPr>
          <w:p w14:paraId="557B94CF">
            <w:pPr>
              <w:spacing w:line="30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评分标准</w:t>
            </w:r>
          </w:p>
        </w:tc>
      </w:tr>
      <w:tr w14:paraId="23A9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7" w:type="dxa"/>
            <w:vMerge w:val="restart"/>
            <w:vAlign w:val="center"/>
          </w:tcPr>
          <w:p w14:paraId="67B6E6DA">
            <w:pPr>
              <w:spacing w:line="460" w:lineRule="exact"/>
              <w:rPr>
                <w:rFonts w:ascii="Times New Roman" w:hAnsi="Times New Roman"/>
                <w:b/>
                <w:bCs/>
                <w:color w:val="000000"/>
                <w:szCs w:val="21"/>
                <w:highlight w:val="none"/>
              </w:rPr>
            </w:pPr>
          </w:p>
          <w:p w14:paraId="77C2B755">
            <w:pPr>
              <w:spacing w:line="460" w:lineRule="exact"/>
              <w:rPr>
                <w:rFonts w:ascii="Times New Roman" w:hAnsi="Times New Roman"/>
                <w:b/>
                <w:bCs/>
                <w:color w:val="000000"/>
                <w:szCs w:val="21"/>
                <w:highlight w:val="none"/>
              </w:rPr>
            </w:pPr>
            <w:r>
              <w:rPr>
                <w:rFonts w:hint="eastAsia" w:ascii="Times New Roman" w:hAnsi="Times New Roman"/>
                <w:b/>
                <w:bCs/>
                <w:color w:val="000000"/>
                <w:szCs w:val="21"/>
                <w:highlight w:val="none"/>
              </w:rPr>
              <w:t>资信标</w:t>
            </w:r>
          </w:p>
          <w:p w14:paraId="7005410D">
            <w:pPr>
              <w:spacing w:line="460" w:lineRule="exact"/>
              <w:rPr>
                <w:rFonts w:ascii="Times New Roman" w:hAnsi="Times New Roman"/>
                <w:b/>
                <w:bCs/>
                <w:color w:val="000000"/>
                <w:szCs w:val="21"/>
                <w:highlight w:val="none"/>
              </w:rPr>
            </w:pPr>
            <w:r>
              <w:rPr>
                <w:rFonts w:hint="eastAsia" w:ascii="Times New Roman" w:hAnsi="Times New Roman"/>
                <w:b/>
                <w:bCs/>
                <w:color w:val="000000"/>
                <w:szCs w:val="21"/>
                <w:highlight w:val="none"/>
              </w:rPr>
              <w:t>（</w:t>
            </w:r>
            <w:r>
              <w:rPr>
                <w:rFonts w:hint="eastAsia" w:ascii="Times New Roman" w:hAnsi="Times New Roman"/>
                <w:b/>
                <w:bCs/>
                <w:color w:val="000000"/>
                <w:szCs w:val="21"/>
                <w:highlight w:val="none"/>
                <w:lang w:val="en-US" w:eastAsia="zh-CN"/>
              </w:rPr>
              <w:t>10</w:t>
            </w:r>
            <w:r>
              <w:rPr>
                <w:rFonts w:hint="eastAsia" w:ascii="Times New Roman" w:hAnsi="Times New Roman"/>
                <w:b/>
                <w:bCs/>
                <w:color w:val="000000"/>
                <w:szCs w:val="21"/>
                <w:highlight w:val="none"/>
              </w:rPr>
              <w:t>分）</w:t>
            </w:r>
          </w:p>
        </w:tc>
        <w:tc>
          <w:tcPr>
            <w:tcW w:w="1430" w:type="dxa"/>
            <w:vAlign w:val="center"/>
          </w:tcPr>
          <w:p w14:paraId="7296AE2B">
            <w:pPr>
              <w:spacing w:line="400" w:lineRule="exact"/>
              <w:rPr>
                <w:rFonts w:ascii="Times New Roman" w:hAnsi="Times New Roman"/>
                <w:color w:val="000000"/>
                <w:szCs w:val="21"/>
                <w:highlight w:val="none"/>
              </w:rPr>
            </w:pPr>
            <w:r>
              <w:rPr>
                <w:rFonts w:ascii="Times New Roman" w:hAnsi="Times New Roman"/>
                <w:color w:val="000000"/>
                <w:szCs w:val="21"/>
                <w:highlight w:val="none"/>
              </w:rPr>
              <w:t>企业资质</w:t>
            </w:r>
          </w:p>
        </w:tc>
        <w:tc>
          <w:tcPr>
            <w:tcW w:w="694" w:type="dxa"/>
          </w:tcPr>
          <w:p w14:paraId="56C65516">
            <w:pPr>
              <w:spacing w:line="400" w:lineRule="exact"/>
              <w:jc w:val="center"/>
              <w:rPr>
                <w:rFonts w:ascii="Times New Roman" w:hAnsi="Times New Roman"/>
                <w:color w:val="000000"/>
                <w:szCs w:val="21"/>
                <w:highlight w:val="none"/>
              </w:rPr>
            </w:pPr>
            <w:r>
              <w:rPr>
                <w:rFonts w:hint="eastAsia" w:ascii="Times New Roman" w:hAnsi="Times New Roman"/>
                <w:color w:val="000000"/>
                <w:szCs w:val="21"/>
                <w:highlight w:val="none"/>
              </w:rPr>
              <w:t>2</w:t>
            </w:r>
          </w:p>
        </w:tc>
        <w:tc>
          <w:tcPr>
            <w:tcW w:w="6613" w:type="dxa"/>
            <w:vAlign w:val="center"/>
          </w:tcPr>
          <w:p w14:paraId="7BCD1D8C">
            <w:pPr>
              <w:spacing w:line="400" w:lineRule="exact"/>
              <w:rPr>
                <w:rFonts w:hint="eastAsia" w:ascii="仿宋" w:hAnsi="仿宋" w:eastAsia="仿宋" w:cs="宋体"/>
                <w:sz w:val="24"/>
                <w:szCs w:val="20"/>
                <w:highlight w:val="none"/>
              </w:rPr>
            </w:pPr>
            <w:r>
              <w:rPr>
                <w:rFonts w:hint="eastAsia" w:ascii="Times New Roman" w:hAnsi="Times New Roman"/>
                <w:color w:val="000000"/>
                <w:szCs w:val="21"/>
                <w:highlight w:val="none"/>
              </w:rPr>
              <w:t>满足招标文件资质要求的得1分，高于资质要求的得2分。</w:t>
            </w:r>
          </w:p>
        </w:tc>
      </w:tr>
      <w:tr w14:paraId="08AD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107" w:type="dxa"/>
            <w:vMerge w:val="continue"/>
            <w:vAlign w:val="center"/>
          </w:tcPr>
          <w:p w14:paraId="7880FA75">
            <w:pPr>
              <w:spacing w:line="460" w:lineRule="exact"/>
              <w:rPr>
                <w:rFonts w:ascii="Times New Roman" w:hAnsi="Times New Roman"/>
                <w:b/>
                <w:bCs/>
                <w:color w:val="000000"/>
                <w:szCs w:val="21"/>
                <w:highlight w:val="none"/>
              </w:rPr>
            </w:pPr>
          </w:p>
        </w:tc>
        <w:tc>
          <w:tcPr>
            <w:tcW w:w="1430" w:type="dxa"/>
            <w:vAlign w:val="center"/>
          </w:tcPr>
          <w:p w14:paraId="6C399138">
            <w:pPr>
              <w:spacing w:line="400" w:lineRule="exact"/>
              <w:rPr>
                <w:rFonts w:ascii="Times New Roman" w:hAnsi="Times New Roman"/>
                <w:color w:val="000000"/>
                <w:szCs w:val="21"/>
                <w:highlight w:val="none"/>
              </w:rPr>
            </w:pPr>
            <w:r>
              <w:rPr>
                <w:rFonts w:ascii="Times New Roman" w:hAnsi="Times New Roman"/>
                <w:color w:val="000000"/>
                <w:szCs w:val="21"/>
                <w:highlight w:val="none"/>
              </w:rPr>
              <w:t>企业业绩</w:t>
            </w:r>
          </w:p>
        </w:tc>
        <w:tc>
          <w:tcPr>
            <w:tcW w:w="694" w:type="dxa"/>
          </w:tcPr>
          <w:p w14:paraId="4145A88C">
            <w:pPr>
              <w:spacing w:line="400" w:lineRule="exact"/>
              <w:jc w:val="center"/>
              <w:rPr>
                <w:rFonts w:ascii="Times New Roman" w:hAnsi="Times New Roman"/>
                <w:color w:val="000000"/>
                <w:szCs w:val="21"/>
                <w:highlight w:val="none"/>
              </w:rPr>
            </w:pPr>
          </w:p>
          <w:p w14:paraId="0FA95D4E">
            <w:pPr>
              <w:spacing w:line="400" w:lineRule="exact"/>
              <w:jc w:val="center"/>
              <w:rPr>
                <w:rFonts w:hint="default" w:ascii="Times New Roman" w:hAnsi="Times New Roman" w:eastAsia="等线"/>
                <w:color w:val="000000"/>
                <w:szCs w:val="21"/>
                <w:highlight w:val="none"/>
                <w:lang w:val="en-US" w:eastAsia="zh-CN"/>
              </w:rPr>
            </w:pPr>
            <w:r>
              <w:rPr>
                <w:rFonts w:hint="eastAsia" w:ascii="Times New Roman" w:hAnsi="Times New Roman"/>
                <w:color w:val="000000"/>
                <w:szCs w:val="21"/>
                <w:highlight w:val="none"/>
                <w:lang w:val="en-US" w:eastAsia="zh-CN"/>
              </w:rPr>
              <w:t>3</w:t>
            </w:r>
          </w:p>
        </w:tc>
        <w:tc>
          <w:tcPr>
            <w:tcW w:w="6613" w:type="dxa"/>
            <w:vAlign w:val="center"/>
          </w:tcPr>
          <w:p w14:paraId="303B2E5F">
            <w:pPr>
              <w:spacing w:line="400" w:lineRule="exact"/>
              <w:jc w:val="left"/>
              <w:rPr>
                <w:rFonts w:ascii="Times New Roman" w:hAnsi="Times New Roman"/>
                <w:color w:val="000000"/>
                <w:szCs w:val="21"/>
                <w:highlight w:val="none"/>
              </w:rPr>
            </w:pPr>
            <w:r>
              <w:rPr>
                <w:rFonts w:hint="eastAsia" w:ascii="Times New Roman" w:hAnsi="Times New Roman" w:cs="Times New Roman"/>
                <w:color w:val="000000"/>
                <w:szCs w:val="21"/>
                <w:highlight w:val="none"/>
              </w:rPr>
              <w:t>近三年（2023-2025）每完成1项</w:t>
            </w:r>
            <w:r>
              <w:rPr>
                <w:rFonts w:hint="default" w:ascii="Times New Roman" w:hAnsi="Times New Roman" w:cs="Times New Roman"/>
                <w:color w:val="000000"/>
                <w:szCs w:val="21"/>
                <w:highlight w:val="none"/>
              </w:rPr>
              <w:t>“重载交通道路”或“冬季/节假日抢工道路”类似工程（合同金额≥</w:t>
            </w:r>
            <w:r>
              <w:rPr>
                <w:rFonts w:hint="eastAsia"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rPr>
              <w:t>00万）得1分，最高得</w:t>
            </w:r>
            <w:r>
              <w:rPr>
                <w:rFonts w:hint="eastAsia" w:ascii="Times New Roman" w:hAnsi="Times New Roman" w:cs="Times New Roman"/>
                <w:color w:val="000000"/>
                <w:szCs w:val="21"/>
                <w:highlight w:val="none"/>
                <w:lang w:val="en-US" w:eastAsia="zh-CN"/>
              </w:rPr>
              <w:t>3</w:t>
            </w:r>
            <w:r>
              <w:rPr>
                <w:rFonts w:hint="default" w:ascii="Times New Roman" w:hAnsi="Times New Roman" w:cs="Times New Roman"/>
                <w:color w:val="000000"/>
                <w:szCs w:val="21"/>
                <w:highlight w:val="none"/>
              </w:rPr>
              <w:t>分。</w:t>
            </w:r>
            <w:r>
              <w:rPr>
                <w:rFonts w:hint="default" w:ascii="Times New Roman" w:hAnsi="Times New Roman" w:cs="Times New Roman"/>
                <w:color w:val="000000"/>
                <w:szCs w:val="21"/>
                <w:highlight w:val="none"/>
              </w:rPr>
              <w:br w:type="textWrapping"/>
            </w:r>
            <w:r>
              <w:rPr>
                <w:rFonts w:hint="default" w:ascii="Times New Roman" w:hAnsi="Times New Roman" w:cs="Times New Roman"/>
                <w:color w:val="000000"/>
                <w:szCs w:val="21"/>
                <w:highlight w:val="none"/>
              </w:rPr>
              <w:t>（须提供合同关键页及竣工验收证明，时间以竣工为准）</w:t>
            </w:r>
          </w:p>
        </w:tc>
      </w:tr>
      <w:tr w14:paraId="7544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107" w:type="dxa"/>
            <w:vMerge w:val="continue"/>
            <w:vAlign w:val="center"/>
          </w:tcPr>
          <w:p w14:paraId="66865EB5">
            <w:pPr>
              <w:spacing w:line="460" w:lineRule="exact"/>
              <w:rPr>
                <w:rFonts w:ascii="Times New Roman" w:hAnsi="Times New Roman"/>
                <w:b/>
                <w:bCs/>
                <w:color w:val="000000"/>
                <w:szCs w:val="21"/>
                <w:highlight w:val="none"/>
              </w:rPr>
            </w:pPr>
          </w:p>
        </w:tc>
        <w:tc>
          <w:tcPr>
            <w:tcW w:w="1430" w:type="dxa"/>
            <w:vAlign w:val="center"/>
          </w:tcPr>
          <w:p w14:paraId="7C48FAE8">
            <w:pPr>
              <w:spacing w:line="400" w:lineRule="exact"/>
              <w:jc w:val="left"/>
              <w:rPr>
                <w:rFonts w:ascii="Times New Roman" w:hAnsi="Times New Roman"/>
                <w:color w:val="000000"/>
                <w:szCs w:val="21"/>
                <w:highlight w:val="none"/>
              </w:rPr>
            </w:pPr>
            <w:r>
              <w:rPr>
                <w:rFonts w:hint="eastAsia" w:ascii="Times New Roman" w:hAnsi="Times New Roman"/>
                <w:color w:val="000000"/>
                <w:szCs w:val="21"/>
                <w:highlight w:val="none"/>
              </w:rPr>
              <w:t>项目管理班子配备情况</w:t>
            </w:r>
          </w:p>
        </w:tc>
        <w:tc>
          <w:tcPr>
            <w:tcW w:w="694" w:type="dxa"/>
          </w:tcPr>
          <w:p w14:paraId="0CA2EF12">
            <w:pPr>
              <w:spacing w:line="400" w:lineRule="exact"/>
              <w:jc w:val="center"/>
              <w:rPr>
                <w:rFonts w:ascii="Times New Roman" w:hAnsi="Times New Roman"/>
                <w:color w:val="000000"/>
                <w:szCs w:val="21"/>
                <w:highlight w:val="none"/>
              </w:rPr>
            </w:pPr>
          </w:p>
          <w:p w14:paraId="10E6E3BB">
            <w:pPr>
              <w:spacing w:line="400" w:lineRule="exact"/>
              <w:jc w:val="center"/>
              <w:rPr>
                <w:rFonts w:ascii="Times New Roman" w:hAnsi="Times New Roman"/>
                <w:color w:val="000000"/>
                <w:szCs w:val="21"/>
                <w:highlight w:val="none"/>
              </w:rPr>
            </w:pPr>
            <w:r>
              <w:rPr>
                <w:rFonts w:hint="eastAsia" w:ascii="Times New Roman" w:hAnsi="Times New Roman"/>
                <w:color w:val="000000"/>
                <w:szCs w:val="21"/>
                <w:highlight w:val="none"/>
              </w:rPr>
              <w:t>2</w:t>
            </w:r>
          </w:p>
        </w:tc>
        <w:tc>
          <w:tcPr>
            <w:tcW w:w="6613" w:type="dxa"/>
            <w:vAlign w:val="center"/>
          </w:tcPr>
          <w:p w14:paraId="1B3D449D">
            <w:pPr>
              <w:spacing w:line="400" w:lineRule="exact"/>
              <w:jc w:val="left"/>
              <w:rPr>
                <w:rFonts w:ascii="Times New Roman" w:hAnsi="Times New Roman"/>
                <w:color w:val="000000"/>
                <w:szCs w:val="21"/>
                <w:highlight w:val="none"/>
              </w:rPr>
            </w:pPr>
            <w:r>
              <w:rPr>
                <w:rFonts w:hint="eastAsia" w:ascii="Times New Roman" w:hAnsi="Times New Roman"/>
                <w:color w:val="000000"/>
                <w:szCs w:val="21"/>
                <w:highlight w:val="none"/>
              </w:rPr>
              <w:t>项目管理机构人员配备齐全合理，并具有相应的岗位证书及资格证书，得2分。（提供人员名单及近半年有效社保证明，项目部人员均须在名单中，否则不得分）</w:t>
            </w:r>
          </w:p>
        </w:tc>
      </w:tr>
      <w:tr w14:paraId="5987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107" w:type="dxa"/>
            <w:vMerge w:val="continue"/>
            <w:vAlign w:val="center"/>
          </w:tcPr>
          <w:p w14:paraId="6D98CEDC">
            <w:pPr>
              <w:spacing w:line="460" w:lineRule="exact"/>
              <w:rPr>
                <w:rFonts w:ascii="Times New Roman" w:hAnsi="Times New Roman"/>
                <w:b/>
                <w:bCs/>
                <w:color w:val="000000"/>
                <w:szCs w:val="21"/>
                <w:highlight w:val="none"/>
              </w:rPr>
            </w:pPr>
          </w:p>
        </w:tc>
        <w:tc>
          <w:tcPr>
            <w:tcW w:w="1430" w:type="dxa"/>
            <w:vAlign w:val="center"/>
          </w:tcPr>
          <w:p w14:paraId="0399BA35">
            <w:pPr>
              <w:spacing w:line="400" w:lineRule="exact"/>
              <w:rPr>
                <w:rFonts w:ascii="Times New Roman" w:hAnsi="Times New Roman"/>
                <w:color w:val="000000"/>
                <w:szCs w:val="21"/>
                <w:highlight w:val="none"/>
              </w:rPr>
            </w:pPr>
            <w:r>
              <w:rPr>
                <w:rFonts w:hint="eastAsia" w:ascii="Times New Roman" w:hAnsi="Times New Roman"/>
                <w:color w:val="000000"/>
                <w:szCs w:val="21"/>
                <w:highlight w:val="none"/>
              </w:rPr>
              <w:t>项目经理业绩</w:t>
            </w:r>
          </w:p>
        </w:tc>
        <w:tc>
          <w:tcPr>
            <w:tcW w:w="694" w:type="dxa"/>
          </w:tcPr>
          <w:p w14:paraId="05C638A3">
            <w:pPr>
              <w:spacing w:line="400" w:lineRule="exact"/>
              <w:ind w:firstLine="210" w:firstLineChars="100"/>
              <w:jc w:val="both"/>
              <w:rPr>
                <w:rFonts w:hint="eastAsia" w:ascii="Times New Roman" w:hAnsi="Times New Roman" w:eastAsia="等线"/>
                <w:color w:val="000000"/>
                <w:szCs w:val="21"/>
                <w:highlight w:val="none"/>
                <w:lang w:val="en-US" w:eastAsia="zh-CN"/>
              </w:rPr>
            </w:pPr>
            <w:r>
              <w:rPr>
                <w:rFonts w:hint="eastAsia" w:ascii="Times New Roman" w:hAnsi="Times New Roman"/>
                <w:color w:val="000000"/>
                <w:szCs w:val="21"/>
                <w:highlight w:val="none"/>
                <w:lang w:val="en-US" w:eastAsia="zh-CN"/>
              </w:rPr>
              <w:t>3</w:t>
            </w:r>
          </w:p>
        </w:tc>
        <w:tc>
          <w:tcPr>
            <w:tcW w:w="6613" w:type="dxa"/>
            <w:vAlign w:val="center"/>
          </w:tcPr>
          <w:p w14:paraId="2A558599">
            <w:pPr>
              <w:spacing w:line="400" w:lineRule="exact"/>
              <w:jc w:val="left"/>
              <w:rPr>
                <w:rFonts w:ascii="Times New Roman" w:hAnsi="Times New Roman"/>
                <w:color w:val="000000"/>
                <w:szCs w:val="21"/>
                <w:highlight w:val="none"/>
              </w:rPr>
            </w:pPr>
            <w:r>
              <w:rPr>
                <w:rFonts w:hint="eastAsia" w:ascii="Times New Roman" w:hAnsi="Times New Roman"/>
                <w:color w:val="000000"/>
                <w:szCs w:val="21"/>
                <w:highlight w:val="none"/>
              </w:rPr>
              <w:t>1）项目经理满足招标文件要求的得1分。（以原件为准，否则不得分）。</w:t>
            </w:r>
          </w:p>
          <w:p w14:paraId="62BA759D">
            <w:pPr>
              <w:spacing w:line="400" w:lineRule="exact"/>
              <w:jc w:val="left"/>
              <w:rPr>
                <w:rFonts w:ascii="Times New Roman" w:hAnsi="Times New Roman"/>
                <w:color w:val="000000"/>
                <w:szCs w:val="21"/>
                <w:highlight w:val="none"/>
              </w:rPr>
            </w:pPr>
            <w:r>
              <w:rPr>
                <w:rFonts w:hint="eastAsia" w:ascii="Times New Roman" w:hAnsi="Times New Roman"/>
                <w:color w:val="000000"/>
                <w:szCs w:val="21"/>
                <w:highlight w:val="none"/>
              </w:rPr>
              <w:t>2）项目经理近</w:t>
            </w:r>
            <w:r>
              <w:rPr>
                <w:rFonts w:hint="eastAsia" w:ascii="Times New Roman" w:hAnsi="Times New Roman"/>
                <w:color w:val="000000"/>
                <w:szCs w:val="21"/>
                <w:highlight w:val="none"/>
                <w:lang w:val="en-US" w:eastAsia="zh-CN"/>
              </w:rPr>
              <w:t>3</w:t>
            </w:r>
            <w:r>
              <w:rPr>
                <w:rFonts w:hint="eastAsia" w:ascii="Times New Roman" w:hAnsi="Times New Roman"/>
                <w:color w:val="000000"/>
                <w:szCs w:val="21"/>
                <w:highlight w:val="none"/>
              </w:rPr>
              <w:t>年有类似工程施工管理业绩，得</w:t>
            </w:r>
            <w:r>
              <w:rPr>
                <w:rFonts w:hint="eastAsia" w:ascii="Times New Roman" w:hAnsi="Times New Roman"/>
                <w:color w:val="000000"/>
                <w:szCs w:val="21"/>
                <w:highlight w:val="none"/>
                <w:lang w:val="en-US" w:eastAsia="zh-CN"/>
              </w:rPr>
              <w:t>2</w:t>
            </w:r>
            <w:r>
              <w:rPr>
                <w:rFonts w:hint="eastAsia" w:ascii="Times New Roman" w:hAnsi="Times New Roman"/>
                <w:color w:val="000000"/>
                <w:szCs w:val="21"/>
                <w:highlight w:val="none"/>
              </w:rPr>
              <w:t>分。</w:t>
            </w:r>
          </w:p>
        </w:tc>
      </w:tr>
      <w:tr w14:paraId="78FD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07" w:type="dxa"/>
            <w:vMerge w:val="restart"/>
            <w:vAlign w:val="center"/>
          </w:tcPr>
          <w:p w14:paraId="6C99CB1B">
            <w:pPr>
              <w:spacing w:line="460" w:lineRule="exact"/>
              <w:rPr>
                <w:rFonts w:ascii="Times New Roman" w:hAnsi="Times New Roman"/>
                <w:b/>
                <w:bCs/>
                <w:color w:val="000000"/>
                <w:szCs w:val="21"/>
                <w:highlight w:val="none"/>
              </w:rPr>
            </w:pPr>
            <w:r>
              <w:rPr>
                <w:rFonts w:hint="eastAsia" w:ascii="Times New Roman" w:hAnsi="Times New Roman"/>
                <w:b/>
                <w:bCs/>
                <w:color w:val="000000"/>
                <w:szCs w:val="21"/>
                <w:highlight w:val="none"/>
              </w:rPr>
              <w:t>技术标（</w:t>
            </w:r>
            <w:r>
              <w:rPr>
                <w:rFonts w:hint="eastAsia" w:ascii="Times New Roman" w:hAnsi="Times New Roman"/>
                <w:b/>
                <w:bCs/>
                <w:color w:val="000000"/>
                <w:szCs w:val="21"/>
                <w:highlight w:val="none"/>
                <w:lang w:val="en-US" w:eastAsia="zh-CN"/>
              </w:rPr>
              <w:t>20</w:t>
            </w:r>
            <w:r>
              <w:rPr>
                <w:rFonts w:hint="eastAsia" w:ascii="Times New Roman" w:hAnsi="Times New Roman"/>
                <w:b/>
                <w:bCs/>
                <w:color w:val="000000"/>
                <w:szCs w:val="21"/>
                <w:highlight w:val="none"/>
              </w:rPr>
              <w:t>分）</w:t>
            </w:r>
          </w:p>
          <w:p w14:paraId="1371FC7C">
            <w:pPr>
              <w:spacing w:line="460" w:lineRule="exact"/>
              <w:rPr>
                <w:rFonts w:ascii="Times New Roman" w:hAnsi="Times New Roman"/>
                <w:b/>
                <w:bCs/>
                <w:color w:val="000000"/>
                <w:szCs w:val="21"/>
                <w:highlight w:val="none"/>
              </w:rPr>
            </w:pPr>
          </w:p>
        </w:tc>
        <w:tc>
          <w:tcPr>
            <w:tcW w:w="1430" w:type="dxa"/>
            <w:vAlign w:val="center"/>
          </w:tcPr>
          <w:p w14:paraId="05CD8489">
            <w:pPr>
              <w:spacing w:line="400" w:lineRule="exact"/>
              <w:jc w:val="left"/>
              <w:rPr>
                <w:rFonts w:ascii="Times New Roman" w:hAnsi="Times New Roman"/>
                <w:color w:val="000000"/>
                <w:szCs w:val="21"/>
                <w:highlight w:val="none"/>
              </w:rPr>
            </w:pPr>
            <w:r>
              <w:rPr>
                <w:rFonts w:ascii="Times New Roman" w:hAnsi="Times New Roman" w:cs="Times New Roman"/>
                <w:color w:val="000000"/>
                <w:szCs w:val="21"/>
                <w:highlight w:val="none"/>
              </w:rPr>
              <w:t>材料保障能力</w:t>
            </w:r>
          </w:p>
        </w:tc>
        <w:tc>
          <w:tcPr>
            <w:tcW w:w="694" w:type="dxa"/>
            <w:vAlign w:val="center"/>
          </w:tcPr>
          <w:p w14:paraId="42753F85">
            <w:pPr>
              <w:spacing w:line="400" w:lineRule="exact"/>
              <w:jc w:val="center"/>
              <w:rPr>
                <w:rFonts w:hint="default" w:ascii="Times New Roman" w:hAnsi="Times New Roman" w:eastAsia="等线"/>
                <w:color w:val="000000"/>
                <w:szCs w:val="21"/>
                <w:highlight w:val="none"/>
                <w:lang w:val="en-US" w:eastAsia="zh-CN"/>
              </w:rPr>
            </w:pPr>
            <w:r>
              <w:rPr>
                <w:rFonts w:hint="eastAsia" w:ascii="Times New Roman" w:hAnsi="Times New Roman"/>
                <w:color w:val="000000"/>
                <w:szCs w:val="21"/>
                <w:highlight w:val="none"/>
                <w:lang w:val="en-US" w:eastAsia="zh-CN"/>
              </w:rPr>
              <w:t>3</w:t>
            </w:r>
          </w:p>
        </w:tc>
        <w:tc>
          <w:tcPr>
            <w:tcW w:w="6613" w:type="dxa"/>
            <w:vAlign w:val="center"/>
          </w:tcPr>
          <w:p w14:paraId="268E53CD">
            <w:pPr>
              <w:spacing w:line="400" w:lineRule="exact"/>
              <w:jc w:val="left"/>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rPr>
              <w:t>提供</w:t>
            </w:r>
            <w:r>
              <w:rPr>
                <w:rFonts w:hint="default" w:ascii="Times New Roman" w:hAnsi="Times New Roman" w:cs="Times New Roman"/>
                <w:color w:val="000000"/>
                <w:szCs w:val="21"/>
                <w:highlight w:val="none"/>
              </w:rPr>
              <w:t>拟</w:t>
            </w:r>
            <w:r>
              <w:rPr>
                <w:rFonts w:hint="eastAsia" w:ascii="Times New Roman" w:hAnsi="Times New Roman" w:cs="Times New Roman"/>
                <w:color w:val="000000"/>
                <w:szCs w:val="21"/>
                <w:highlight w:val="none"/>
                <w:lang w:val="en-US" w:eastAsia="zh-CN"/>
              </w:rPr>
              <w:t>采购</w:t>
            </w:r>
            <w:r>
              <w:rPr>
                <w:rFonts w:hint="eastAsia" w:ascii="Times New Roman" w:hAnsi="Times New Roman" w:cs="Times New Roman"/>
                <w:color w:val="000000"/>
                <w:szCs w:val="21"/>
                <w:highlight w:val="none"/>
              </w:rPr>
              <w:t>供应商有效的《营业执照》、</w:t>
            </w:r>
            <w:r>
              <w:rPr>
                <w:rFonts w:hint="eastAsia" w:ascii="Times New Roman" w:hAnsi="Times New Roman" w:cs="Times New Roman"/>
                <w:color w:val="000000"/>
                <w:szCs w:val="21"/>
                <w:highlight w:val="none"/>
                <w:lang w:val="en-US" w:eastAsia="zh-CN"/>
              </w:rPr>
              <w:t>资质证明及</w:t>
            </w:r>
            <w:r>
              <w:rPr>
                <w:rFonts w:hint="eastAsia" w:ascii="Times New Roman" w:hAnsi="Times New Roman" w:cs="Times New Roman"/>
                <w:color w:val="000000"/>
                <w:szCs w:val="21"/>
                <w:highlight w:val="none"/>
              </w:rPr>
              <w:t>相关生产许可证</w:t>
            </w:r>
            <w:r>
              <w:rPr>
                <w:rFonts w:hint="eastAsia" w:ascii="Times New Roman" w:hAnsi="Times New Roman" w:cs="Times New Roman"/>
                <w:color w:val="000000"/>
                <w:szCs w:val="21"/>
                <w:highlight w:val="none"/>
                <w:lang w:val="en-US" w:eastAsia="zh-CN"/>
              </w:rPr>
              <w:t>得1分。</w:t>
            </w:r>
          </w:p>
          <w:p w14:paraId="4709D2E6">
            <w:pPr>
              <w:spacing w:line="400" w:lineRule="exact"/>
              <w:jc w:val="left"/>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提供</w:t>
            </w:r>
            <w:r>
              <w:rPr>
                <w:rFonts w:hint="eastAsia" w:ascii="Times New Roman" w:hAnsi="Times New Roman" w:cs="Times New Roman"/>
                <w:color w:val="000000"/>
                <w:szCs w:val="21"/>
                <w:highlight w:val="none"/>
                <w:lang w:val="en-US" w:eastAsia="zh-CN"/>
              </w:rPr>
              <w:t>沥青混凝土</w:t>
            </w:r>
            <w:r>
              <w:rPr>
                <w:rFonts w:hint="default" w:ascii="Times New Roman" w:hAnsi="Times New Roman" w:cs="Times New Roman"/>
                <w:color w:val="000000"/>
                <w:szCs w:val="21"/>
                <w:highlight w:val="none"/>
              </w:rPr>
              <w:t>近</w:t>
            </w:r>
            <w:r>
              <w:rPr>
                <w:rFonts w:hint="eastAsia" w:ascii="Times New Roman" w:hAnsi="Times New Roman" w:cs="Times New Roman"/>
                <w:color w:val="000000"/>
                <w:szCs w:val="21"/>
                <w:highlight w:val="none"/>
                <w:lang w:val="en-US" w:eastAsia="zh-CN"/>
              </w:rPr>
              <w:t>一</w:t>
            </w:r>
            <w:r>
              <w:rPr>
                <w:rFonts w:hint="default" w:ascii="Times New Roman" w:hAnsi="Times New Roman" w:cs="Times New Roman"/>
                <w:color w:val="000000"/>
                <w:szCs w:val="21"/>
                <w:highlight w:val="none"/>
              </w:rPr>
              <w:t>年</w:t>
            </w:r>
            <w:r>
              <w:rPr>
                <w:rFonts w:hint="eastAsia" w:ascii="Times New Roman" w:hAnsi="Times New Roman" w:cs="Times New Roman"/>
                <w:color w:val="000000"/>
                <w:szCs w:val="21"/>
                <w:highlight w:val="none"/>
                <w:lang w:val="en-US" w:eastAsia="zh-CN"/>
              </w:rPr>
              <w:t>质检报告</w:t>
            </w:r>
            <w:r>
              <w:rPr>
                <w:rFonts w:hint="default" w:ascii="Times New Roman" w:hAnsi="Times New Roman" w:cs="Times New Roman"/>
                <w:color w:val="000000"/>
                <w:szCs w:val="21"/>
                <w:highlight w:val="none"/>
              </w:rPr>
              <w:t>。得</w:t>
            </w:r>
            <w:r>
              <w:rPr>
                <w:rFonts w:hint="eastAsia"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rPr>
              <w:t>分：</w:t>
            </w:r>
          </w:p>
          <w:p w14:paraId="51E01CA1">
            <w:pPr>
              <w:spacing w:line="400" w:lineRule="exact"/>
              <w:jc w:val="left"/>
              <w:rPr>
                <w:rFonts w:hint="default" w:eastAsia="宋体"/>
                <w:lang w:val="en-US" w:eastAsia="zh-CN"/>
              </w:rPr>
            </w:pPr>
            <w:r>
              <w:rPr>
                <w:rFonts w:hint="eastAsia" w:ascii="Times New Roman" w:hAnsi="Times New Roman" w:cs="Times New Roman"/>
                <w:color w:val="000000"/>
                <w:szCs w:val="21"/>
                <w:highlight w:val="none"/>
                <w:lang w:val="en-US" w:eastAsia="zh-CN"/>
              </w:rPr>
              <w:t>对</w:t>
            </w: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材料</w:t>
            </w:r>
            <w:r>
              <w:rPr>
                <w:rFonts w:hint="default" w:ascii="Times New Roman" w:hAnsi="Times New Roman" w:cs="Times New Roman"/>
                <w:color w:val="000000"/>
                <w:szCs w:val="21"/>
                <w:highlight w:val="none"/>
              </w:rPr>
              <w:t>质量保证承诺函》</w:t>
            </w:r>
            <w:r>
              <w:rPr>
                <w:rFonts w:hint="eastAsia" w:ascii="Times New Roman" w:hAnsi="Times New Roman" w:cs="Times New Roman"/>
                <w:color w:val="000000"/>
                <w:szCs w:val="21"/>
                <w:highlight w:val="none"/>
                <w:lang w:val="en-US" w:eastAsia="zh-CN"/>
              </w:rPr>
              <w:t>提供响应文件的。</w:t>
            </w:r>
            <w:r>
              <w:rPr>
                <w:rFonts w:hint="default" w:ascii="Times New Roman" w:hAnsi="Times New Roman" w:cs="Times New Roman"/>
                <w:color w:val="000000"/>
                <w:szCs w:val="21"/>
                <w:highlight w:val="none"/>
              </w:rPr>
              <w:t>得</w:t>
            </w:r>
            <w:r>
              <w:rPr>
                <w:rFonts w:hint="eastAsia" w:ascii="Times New Roman" w:hAnsi="Times New Roman" w:cs="Times New Roman"/>
                <w:color w:val="000000"/>
                <w:szCs w:val="21"/>
                <w:highlight w:val="none"/>
                <w:lang w:val="en-US" w:eastAsia="zh-CN"/>
              </w:rPr>
              <w:t>1</w:t>
            </w:r>
            <w:r>
              <w:rPr>
                <w:rFonts w:hint="default" w:ascii="Times New Roman" w:hAnsi="Times New Roman" w:cs="Times New Roman"/>
                <w:color w:val="000000"/>
                <w:szCs w:val="21"/>
                <w:highlight w:val="none"/>
              </w:rPr>
              <w:t>分</w:t>
            </w:r>
          </w:p>
        </w:tc>
      </w:tr>
      <w:tr w14:paraId="41F8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07" w:type="dxa"/>
            <w:vMerge w:val="continue"/>
            <w:vAlign w:val="center"/>
          </w:tcPr>
          <w:p w14:paraId="404BAF3A">
            <w:pPr>
              <w:spacing w:line="460" w:lineRule="exact"/>
              <w:rPr>
                <w:rFonts w:ascii="Times New Roman" w:hAnsi="Times New Roman"/>
                <w:b/>
                <w:bCs/>
                <w:color w:val="000000"/>
                <w:szCs w:val="21"/>
                <w:highlight w:val="none"/>
              </w:rPr>
            </w:pPr>
          </w:p>
        </w:tc>
        <w:tc>
          <w:tcPr>
            <w:tcW w:w="1430" w:type="dxa"/>
            <w:vAlign w:val="center"/>
          </w:tcPr>
          <w:p w14:paraId="31A2CBC7">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施工方案与技术措施</w:t>
            </w:r>
          </w:p>
        </w:tc>
        <w:tc>
          <w:tcPr>
            <w:tcW w:w="694" w:type="dxa"/>
            <w:vAlign w:val="center"/>
          </w:tcPr>
          <w:p w14:paraId="637BFB76">
            <w:pPr>
              <w:spacing w:line="400" w:lineRule="exact"/>
              <w:jc w:val="center"/>
              <w:rPr>
                <w:rFonts w:hint="default" w:ascii="Times New Roman" w:hAnsi="Times New Roman" w:eastAsia="等线"/>
                <w:color w:val="000000"/>
                <w:szCs w:val="21"/>
                <w:highlight w:val="none"/>
                <w:lang w:val="en-US" w:eastAsia="zh-CN"/>
              </w:rPr>
            </w:pPr>
            <w:r>
              <w:rPr>
                <w:rFonts w:hint="eastAsia" w:ascii="Times New Roman" w:hAnsi="Times New Roman"/>
                <w:color w:val="000000"/>
                <w:szCs w:val="21"/>
                <w:highlight w:val="none"/>
                <w:lang w:val="en-US" w:eastAsia="zh-CN"/>
              </w:rPr>
              <w:t>5</w:t>
            </w:r>
          </w:p>
        </w:tc>
        <w:tc>
          <w:tcPr>
            <w:tcW w:w="6613" w:type="dxa"/>
            <w:vAlign w:val="center"/>
          </w:tcPr>
          <w:p w14:paraId="71105457">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优（</w:t>
            </w:r>
            <w:r>
              <w:rPr>
                <w:rFonts w:hint="eastAsia" w:ascii="Times New Roman" w:hAnsi="Times New Roman"/>
                <w:color w:val="000000"/>
                <w:szCs w:val="21"/>
                <w:highlight w:val="none"/>
                <w:lang w:val="en-US" w:eastAsia="zh-CN"/>
              </w:rPr>
              <w:t>3</w:t>
            </w:r>
            <w:r>
              <w:rPr>
                <w:rFonts w:ascii="Times New Roman" w:hAnsi="Times New Roman"/>
                <w:color w:val="000000"/>
                <w:szCs w:val="21"/>
                <w:highlight w:val="none"/>
              </w:rPr>
              <w:t>-</w:t>
            </w:r>
            <w:r>
              <w:rPr>
                <w:rFonts w:hint="eastAsia" w:ascii="Times New Roman" w:hAnsi="Times New Roman"/>
                <w:color w:val="000000"/>
                <w:szCs w:val="21"/>
                <w:highlight w:val="none"/>
                <w:lang w:val="en-US" w:eastAsia="zh-CN"/>
              </w:rPr>
              <w:t>5</w:t>
            </w:r>
            <w:r>
              <w:rPr>
                <w:rFonts w:ascii="Times New Roman" w:hAnsi="Times New Roman"/>
                <w:color w:val="000000"/>
                <w:szCs w:val="21"/>
                <w:highlight w:val="none"/>
              </w:rPr>
              <w:t>分）：方案完整，关键工序（铣刨、水稳、沥青摊铺）技术先进、措施具体，能保障特殊工期下的施工质量。</w:t>
            </w:r>
            <w:r>
              <w:rPr>
                <w:rFonts w:ascii="Times New Roman" w:hAnsi="Times New Roman"/>
                <w:color w:val="000000"/>
                <w:szCs w:val="21"/>
                <w:highlight w:val="none"/>
              </w:rPr>
              <w:br w:type="textWrapping"/>
            </w:r>
            <w:r>
              <w:rPr>
                <w:rFonts w:ascii="Times New Roman" w:hAnsi="Times New Roman"/>
                <w:color w:val="000000"/>
                <w:szCs w:val="21"/>
                <w:highlight w:val="none"/>
              </w:rPr>
              <w:t>良（</w:t>
            </w:r>
            <w:r>
              <w:rPr>
                <w:rFonts w:hint="eastAsia" w:ascii="Times New Roman" w:hAnsi="Times New Roman"/>
                <w:color w:val="000000"/>
                <w:szCs w:val="21"/>
                <w:highlight w:val="none"/>
                <w:lang w:val="en-US" w:eastAsia="zh-CN"/>
              </w:rPr>
              <w:t>2</w:t>
            </w:r>
            <w:r>
              <w:rPr>
                <w:rFonts w:ascii="Times New Roman" w:hAnsi="Times New Roman"/>
                <w:color w:val="000000"/>
                <w:szCs w:val="21"/>
                <w:highlight w:val="none"/>
              </w:rPr>
              <w:t>-</w:t>
            </w:r>
            <w:r>
              <w:rPr>
                <w:rFonts w:hint="eastAsia" w:ascii="Times New Roman" w:hAnsi="Times New Roman"/>
                <w:color w:val="000000"/>
                <w:szCs w:val="21"/>
                <w:highlight w:val="none"/>
                <w:lang w:val="en-US" w:eastAsia="zh-CN"/>
              </w:rPr>
              <w:t>3</w:t>
            </w:r>
            <w:r>
              <w:rPr>
                <w:rFonts w:ascii="Times New Roman" w:hAnsi="Times New Roman"/>
                <w:color w:val="000000"/>
                <w:szCs w:val="21"/>
                <w:highlight w:val="none"/>
              </w:rPr>
              <w:t>分）：方案较完整，技术措施可行。</w:t>
            </w:r>
            <w:r>
              <w:rPr>
                <w:rFonts w:ascii="Times New Roman" w:hAnsi="Times New Roman"/>
                <w:color w:val="000000"/>
                <w:szCs w:val="21"/>
                <w:highlight w:val="none"/>
              </w:rPr>
              <w:br w:type="textWrapping"/>
            </w:r>
            <w:r>
              <w:rPr>
                <w:rFonts w:ascii="Times New Roman" w:hAnsi="Times New Roman"/>
                <w:color w:val="000000"/>
                <w:szCs w:val="21"/>
                <w:highlight w:val="none"/>
              </w:rPr>
              <w:t>一般（</w:t>
            </w:r>
            <w:r>
              <w:rPr>
                <w:rFonts w:hint="eastAsia" w:ascii="Times New Roman" w:hAnsi="Times New Roman"/>
                <w:color w:val="000000"/>
                <w:szCs w:val="21"/>
                <w:highlight w:val="none"/>
                <w:lang w:val="en-US" w:eastAsia="zh-CN"/>
              </w:rPr>
              <w:t>0</w:t>
            </w:r>
            <w:r>
              <w:rPr>
                <w:rFonts w:ascii="Times New Roman" w:hAnsi="Times New Roman"/>
                <w:color w:val="000000"/>
                <w:szCs w:val="21"/>
                <w:highlight w:val="none"/>
              </w:rPr>
              <w:t>-</w:t>
            </w:r>
            <w:r>
              <w:rPr>
                <w:rFonts w:hint="eastAsia" w:ascii="Times New Roman" w:hAnsi="Times New Roman"/>
                <w:color w:val="000000"/>
                <w:szCs w:val="21"/>
                <w:highlight w:val="none"/>
                <w:lang w:val="en-US" w:eastAsia="zh-CN"/>
              </w:rPr>
              <w:t>1</w:t>
            </w:r>
            <w:r>
              <w:rPr>
                <w:rFonts w:ascii="Times New Roman" w:hAnsi="Times New Roman"/>
                <w:color w:val="000000"/>
                <w:szCs w:val="21"/>
                <w:highlight w:val="none"/>
              </w:rPr>
              <w:t>分）：方案简单，措施常规。</w:t>
            </w:r>
          </w:p>
        </w:tc>
      </w:tr>
      <w:tr w14:paraId="5078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07" w:type="dxa"/>
            <w:vMerge w:val="continue"/>
            <w:vAlign w:val="center"/>
          </w:tcPr>
          <w:p w14:paraId="7F2B6060">
            <w:pPr>
              <w:spacing w:line="460" w:lineRule="exact"/>
              <w:jc w:val="center"/>
              <w:rPr>
                <w:rFonts w:ascii="Times New Roman" w:hAnsi="Times New Roman"/>
                <w:b/>
                <w:bCs/>
                <w:color w:val="000000"/>
                <w:szCs w:val="21"/>
                <w:highlight w:val="none"/>
              </w:rPr>
            </w:pPr>
          </w:p>
        </w:tc>
        <w:tc>
          <w:tcPr>
            <w:tcW w:w="1430" w:type="dxa"/>
            <w:vAlign w:val="center"/>
          </w:tcPr>
          <w:p w14:paraId="5D321892">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质量保证体系与措施</w:t>
            </w:r>
          </w:p>
        </w:tc>
        <w:tc>
          <w:tcPr>
            <w:tcW w:w="694" w:type="dxa"/>
            <w:vAlign w:val="center"/>
          </w:tcPr>
          <w:p w14:paraId="1489386E">
            <w:pPr>
              <w:spacing w:line="400" w:lineRule="exact"/>
              <w:jc w:val="center"/>
              <w:rPr>
                <w:rFonts w:hint="eastAsia" w:ascii="Times New Roman" w:hAnsi="Times New Roman" w:eastAsia="等线"/>
                <w:color w:val="000000"/>
                <w:szCs w:val="21"/>
                <w:highlight w:val="none"/>
                <w:lang w:val="en-US" w:eastAsia="zh-CN"/>
              </w:rPr>
            </w:pPr>
            <w:r>
              <w:rPr>
                <w:rFonts w:hint="eastAsia" w:ascii="Times New Roman" w:hAnsi="Times New Roman"/>
                <w:color w:val="000000"/>
                <w:szCs w:val="21"/>
                <w:highlight w:val="none"/>
                <w:lang w:val="en-US" w:eastAsia="zh-CN"/>
              </w:rPr>
              <w:t>3</w:t>
            </w:r>
          </w:p>
        </w:tc>
        <w:tc>
          <w:tcPr>
            <w:tcW w:w="6613" w:type="dxa"/>
            <w:vAlign w:val="center"/>
          </w:tcPr>
          <w:p w14:paraId="30397846">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优（</w:t>
            </w:r>
            <w:r>
              <w:rPr>
                <w:rFonts w:hint="eastAsia" w:ascii="Times New Roman" w:hAnsi="Times New Roman"/>
                <w:color w:val="000000"/>
                <w:szCs w:val="21"/>
                <w:highlight w:val="none"/>
                <w:lang w:val="en-US" w:eastAsia="zh-CN"/>
              </w:rPr>
              <w:t>3</w:t>
            </w:r>
            <w:r>
              <w:rPr>
                <w:rFonts w:ascii="Times New Roman" w:hAnsi="Times New Roman"/>
                <w:color w:val="000000"/>
                <w:szCs w:val="21"/>
                <w:highlight w:val="none"/>
              </w:rPr>
              <w:t>分）：目标明确，体系健全，针对冬季及春节施工有专项质量保障与检测计划。</w:t>
            </w:r>
            <w:r>
              <w:rPr>
                <w:rFonts w:ascii="Times New Roman" w:hAnsi="Times New Roman"/>
                <w:color w:val="000000"/>
                <w:szCs w:val="21"/>
                <w:highlight w:val="none"/>
              </w:rPr>
              <w:br w:type="textWrapping"/>
            </w:r>
            <w:r>
              <w:rPr>
                <w:rFonts w:ascii="Times New Roman" w:hAnsi="Times New Roman"/>
                <w:color w:val="000000"/>
                <w:szCs w:val="21"/>
                <w:highlight w:val="none"/>
              </w:rPr>
              <w:t>良（</w:t>
            </w:r>
            <w:r>
              <w:rPr>
                <w:rFonts w:hint="eastAsia" w:ascii="Times New Roman" w:hAnsi="Times New Roman"/>
                <w:color w:val="000000"/>
                <w:szCs w:val="21"/>
                <w:highlight w:val="none"/>
                <w:lang w:val="en-US" w:eastAsia="zh-CN"/>
              </w:rPr>
              <w:t>2</w:t>
            </w:r>
            <w:r>
              <w:rPr>
                <w:rFonts w:ascii="Times New Roman" w:hAnsi="Times New Roman"/>
                <w:color w:val="000000"/>
                <w:szCs w:val="21"/>
                <w:highlight w:val="none"/>
              </w:rPr>
              <w:t>分）：有保证体系和常规措施。</w:t>
            </w:r>
            <w:r>
              <w:rPr>
                <w:rFonts w:ascii="Times New Roman" w:hAnsi="Times New Roman"/>
                <w:color w:val="000000"/>
                <w:szCs w:val="21"/>
                <w:highlight w:val="none"/>
              </w:rPr>
              <w:br w:type="textWrapping"/>
            </w:r>
            <w:r>
              <w:rPr>
                <w:rFonts w:ascii="Times New Roman" w:hAnsi="Times New Roman"/>
                <w:color w:val="000000"/>
                <w:szCs w:val="21"/>
                <w:highlight w:val="none"/>
              </w:rPr>
              <w:t>一般（1分）：措施简单，缺乏针对性。</w:t>
            </w:r>
          </w:p>
        </w:tc>
      </w:tr>
      <w:tr w14:paraId="6134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107" w:type="dxa"/>
            <w:vMerge w:val="continue"/>
            <w:vAlign w:val="center"/>
          </w:tcPr>
          <w:p w14:paraId="60E34CCF">
            <w:pPr>
              <w:spacing w:line="460" w:lineRule="exact"/>
              <w:jc w:val="center"/>
              <w:rPr>
                <w:rFonts w:ascii="Times New Roman" w:hAnsi="Times New Roman"/>
                <w:b/>
                <w:bCs/>
                <w:color w:val="000000"/>
                <w:szCs w:val="21"/>
                <w:highlight w:val="none"/>
              </w:rPr>
            </w:pPr>
          </w:p>
        </w:tc>
        <w:tc>
          <w:tcPr>
            <w:tcW w:w="1430" w:type="dxa"/>
            <w:vAlign w:val="center"/>
          </w:tcPr>
          <w:p w14:paraId="61136420">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施工进度计划与工期保证措施</w:t>
            </w:r>
          </w:p>
        </w:tc>
        <w:tc>
          <w:tcPr>
            <w:tcW w:w="694" w:type="dxa"/>
            <w:vAlign w:val="center"/>
          </w:tcPr>
          <w:p w14:paraId="73D08B2E">
            <w:pPr>
              <w:spacing w:line="400" w:lineRule="exact"/>
              <w:jc w:val="center"/>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5</w:t>
            </w:r>
          </w:p>
        </w:tc>
        <w:tc>
          <w:tcPr>
            <w:tcW w:w="6613" w:type="dxa"/>
            <w:vAlign w:val="center"/>
          </w:tcPr>
          <w:p w14:paraId="28EBA695">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优（</w:t>
            </w:r>
            <w:r>
              <w:rPr>
                <w:rFonts w:hint="eastAsia" w:ascii="Times New Roman" w:hAnsi="Times New Roman"/>
                <w:color w:val="000000"/>
                <w:szCs w:val="21"/>
                <w:highlight w:val="none"/>
                <w:lang w:val="en-US" w:eastAsia="zh-CN"/>
              </w:rPr>
              <w:t>3</w:t>
            </w:r>
            <w:r>
              <w:rPr>
                <w:rFonts w:ascii="Times New Roman" w:hAnsi="Times New Roman"/>
                <w:color w:val="000000"/>
                <w:szCs w:val="21"/>
                <w:highlight w:val="none"/>
              </w:rPr>
              <w:t>-</w:t>
            </w:r>
            <w:r>
              <w:rPr>
                <w:rFonts w:hint="eastAsia" w:ascii="Times New Roman" w:hAnsi="Times New Roman"/>
                <w:color w:val="000000"/>
                <w:szCs w:val="21"/>
                <w:highlight w:val="none"/>
                <w:lang w:val="en-US" w:eastAsia="zh-CN"/>
              </w:rPr>
              <w:t>5</w:t>
            </w:r>
            <w:r>
              <w:rPr>
                <w:rFonts w:ascii="Times New Roman" w:hAnsi="Times New Roman"/>
                <w:color w:val="000000"/>
                <w:szCs w:val="21"/>
                <w:highlight w:val="none"/>
              </w:rPr>
              <w:t>分）：进度计划（横道图）精确到小时，完全响应两个强制节点（2.13-14，2.24-26），春节施工保障方案与应急预案具体可靠。</w:t>
            </w:r>
            <w:r>
              <w:rPr>
                <w:rFonts w:ascii="Times New Roman" w:hAnsi="Times New Roman"/>
                <w:color w:val="000000"/>
                <w:szCs w:val="21"/>
                <w:highlight w:val="none"/>
              </w:rPr>
              <w:br w:type="textWrapping"/>
            </w:r>
            <w:r>
              <w:rPr>
                <w:rFonts w:ascii="Times New Roman" w:hAnsi="Times New Roman"/>
                <w:color w:val="000000"/>
                <w:szCs w:val="21"/>
                <w:highlight w:val="none"/>
              </w:rPr>
              <w:t>良（2-</w:t>
            </w:r>
            <w:r>
              <w:rPr>
                <w:rFonts w:hint="eastAsia" w:ascii="Times New Roman" w:hAnsi="Times New Roman"/>
                <w:color w:val="000000"/>
                <w:szCs w:val="21"/>
                <w:highlight w:val="none"/>
                <w:lang w:val="en-US" w:eastAsia="zh-CN"/>
              </w:rPr>
              <w:t>3</w:t>
            </w:r>
            <w:r>
              <w:rPr>
                <w:rFonts w:ascii="Times New Roman" w:hAnsi="Times New Roman"/>
                <w:color w:val="000000"/>
                <w:szCs w:val="21"/>
                <w:highlight w:val="none"/>
              </w:rPr>
              <w:t>分）：计划合理，有保障措施，但春节安排不够具体。</w:t>
            </w:r>
            <w:r>
              <w:rPr>
                <w:rFonts w:ascii="Times New Roman" w:hAnsi="Times New Roman"/>
                <w:color w:val="000000"/>
                <w:szCs w:val="21"/>
                <w:highlight w:val="none"/>
              </w:rPr>
              <w:br w:type="textWrapping"/>
            </w:r>
            <w:r>
              <w:rPr>
                <w:rFonts w:ascii="Times New Roman" w:hAnsi="Times New Roman"/>
                <w:color w:val="000000"/>
                <w:szCs w:val="21"/>
                <w:highlight w:val="none"/>
              </w:rPr>
              <w:t>一般（</w:t>
            </w:r>
            <w:r>
              <w:rPr>
                <w:rFonts w:hint="eastAsia" w:ascii="Times New Roman" w:hAnsi="Times New Roman"/>
                <w:color w:val="000000"/>
                <w:szCs w:val="21"/>
                <w:highlight w:val="none"/>
                <w:lang w:val="en-US" w:eastAsia="zh-CN"/>
              </w:rPr>
              <w:t>0</w:t>
            </w:r>
            <w:r>
              <w:rPr>
                <w:rFonts w:ascii="Times New Roman" w:hAnsi="Times New Roman"/>
                <w:color w:val="000000"/>
                <w:szCs w:val="21"/>
                <w:highlight w:val="none"/>
              </w:rPr>
              <w:t>-</w:t>
            </w:r>
            <w:r>
              <w:rPr>
                <w:rFonts w:hint="eastAsia" w:ascii="Times New Roman" w:hAnsi="Times New Roman"/>
                <w:color w:val="000000"/>
                <w:szCs w:val="21"/>
                <w:highlight w:val="none"/>
                <w:lang w:val="en-US" w:eastAsia="zh-CN"/>
              </w:rPr>
              <w:t>1</w:t>
            </w:r>
            <w:r>
              <w:rPr>
                <w:rFonts w:ascii="Times New Roman" w:hAnsi="Times New Roman"/>
                <w:color w:val="000000"/>
                <w:szCs w:val="21"/>
                <w:highlight w:val="none"/>
              </w:rPr>
              <w:t>分）：计划简单，措施空泛。</w:t>
            </w:r>
          </w:p>
        </w:tc>
      </w:tr>
      <w:tr w14:paraId="5ECA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107" w:type="dxa"/>
            <w:vMerge w:val="continue"/>
            <w:vAlign w:val="center"/>
          </w:tcPr>
          <w:p w14:paraId="29CC8BB9">
            <w:pPr>
              <w:spacing w:line="460" w:lineRule="exact"/>
              <w:jc w:val="center"/>
              <w:rPr>
                <w:rFonts w:ascii="Times New Roman" w:hAnsi="Times New Roman"/>
                <w:b/>
                <w:bCs/>
                <w:color w:val="000000"/>
                <w:szCs w:val="21"/>
                <w:highlight w:val="none"/>
              </w:rPr>
            </w:pPr>
          </w:p>
        </w:tc>
        <w:tc>
          <w:tcPr>
            <w:tcW w:w="1430" w:type="dxa"/>
            <w:vAlign w:val="center"/>
          </w:tcPr>
          <w:p w14:paraId="51BA6A76">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安全文明施工与环保措施</w:t>
            </w:r>
          </w:p>
        </w:tc>
        <w:tc>
          <w:tcPr>
            <w:tcW w:w="694" w:type="dxa"/>
            <w:vAlign w:val="center"/>
          </w:tcPr>
          <w:p w14:paraId="625002AC">
            <w:pPr>
              <w:spacing w:line="400" w:lineRule="exact"/>
              <w:jc w:val="center"/>
              <w:rPr>
                <w:rFonts w:hint="default" w:ascii="Times New Roman" w:hAnsi="Times New Roman" w:eastAsia="等线"/>
                <w:color w:val="000000"/>
                <w:szCs w:val="21"/>
                <w:highlight w:val="none"/>
                <w:lang w:val="en-US" w:eastAsia="zh-CN"/>
              </w:rPr>
            </w:pPr>
            <w:r>
              <w:rPr>
                <w:rFonts w:hint="eastAsia" w:ascii="Times New Roman" w:hAnsi="Times New Roman"/>
                <w:color w:val="000000"/>
                <w:szCs w:val="21"/>
                <w:highlight w:val="none"/>
                <w:lang w:val="en-US" w:eastAsia="zh-CN"/>
              </w:rPr>
              <w:t>2</w:t>
            </w:r>
          </w:p>
        </w:tc>
        <w:tc>
          <w:tcPr>
            <w:tcW w:w="6613" w:type="dxa"/>
            <w:vAlign w:val="center"/>
          </w:tcPr>
          <w:p w14:paraId="59E649EA">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优（</w:t>
            </w:r>
            <w:r>
              <w:rPr>
                <w:rFonts w:hint="eastAsia" w:ascii="Times New Roman" w:hAnsi="Times New Roman"/>
                <w:color w:val="000000"/>
                <w:szCs w:val="21"/>
                <w:highlight w:val="none"/>
                <w:lang w:val="en-US" w:eastAsia="zh-CN"/>
              </w:rPr>
              <w:t>2</w:t>
            </w:r>
            <w:r>
              <w:rPr>
                <w:rFonts w:ascii="Times New Roman" w:hAnsi="Times New Roman"/>
                <w:color w:val="000000"/>
                <w:szCs w:val="21"/>
                <w:highlight w:val="none"/>
              </w:rPr>
              <w:t>）：措施全面，冬季作业有专项安全方案。</w:t>
            </w:r>
            <w:r>
              <w:rPr>
                <w:rFonts w:ascii="Times New Roman" w:hAnsi="Times New Roman"/>
                <w:color w:val="000000"/>
                <w:szCs w:val="21"/>
                <w:highlight w:val="none"/>
              </w:rPr>
              <w:br w:type="textWrapping"/>
            </w:r>
            <w:r>
              <w:rPr>
                <w:rFonts w:ascii="Times New Roman" w:hAnsi="Times New Roman"/>
                <w:color w:val="000000"/>
                <w:szCs w:val="21"/>
                <w:highlight w:val="none"/>
              </w:rPr>
              <w:t>良（1分）：措施基本满足要求。</w:t>
            </w:r>
            <w:r>
              <w:rPr>
                <w:rFonts w:ascii="Times New Roman" w:hAnsi="Times New Roman"/>
                <w:color w:val="000000"/>
                <w:szCs w:val="21"/>
                <w:highlight w:val="none"/>
              </w:rPr>
              <w:br w:type="textWrapping"/>
            </w:r>
            <w:r>
              <w:rPr>
                <w:rFonts w:ascii="Times New Roman" w:hAnsi="Times New Roman"/>
                <w:color w:val="000000"/>
                <w:szCs w:val="21"/>
                <w:highlight w:val="none"/>
              </w:rPr>
              <w:t>一般（0分）：措施不完善。</w:t>
            </w:r>
          </w:p>
        </w:tc>
      </w:tr>
      <w:tr w14:paraId="18AB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07" w:type="dxa"/>
            <w:vMerge w:val="continue"/>
            <w:vAlign w:val="center"/>
          </w:tcPr>
          <w:p w14:paraId="4BF1820D">
            <w:pPr>
              <w:spacing w:line="460" w:lineRule="exact"/>
              <w:jc w:val="center"/>
              <w:rPr>
                <w:rFonts w:ascii="Times New Roman" w:hAnsi="Times New Roman"/>
                <w:b/>
                <w:bCs/>
                <w:color w:val="000000"/>
                <w:szCs w:val="21"/>
                <w:highlight w:val="none"/>
              </w:rPr>
            </w:pPr>
          </w:p>
        </w:tc>
        <w:tc>
          <w:tcPr>
            <w:tcW w:w="1430" w:type="dxa"/>
            <w:vAlign w:val="center"/>
          </w:tcPr>
          <w:p w14:paraId="60B9320A">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资源投入计划</w:t>
            </w:r>
          </w:p>
        </w:tc>
        <w:tc>
          <w:tcPr>
            <w:tcW w:w="694" w:type="dxa"/>
            <w:vAlign w:val="center"/>
          </w:tcPr>
          <w:p w14:paraId="4D8A2220">
            <w:pPr>
              <w:spacing w:line="400" w:lineRule="exact"/>
              <w:jc w:val="left"/>
              <w:rPr>
                <w:rFonts w:ascii="Times New Roman" w:hAnsi="Times New Roman"/>
                <w:color w:val="000000"/>
                <w:szCs w:val="21"/>
                <w:highlight w:val="none"/>
              </w:rPr>
            </w:pPr>
            <w:r>
              <w:rPr>
                <w:rFonts w:hint="eastAsia" w:ascii="Times New Roman" w:hAnsi="Times New Roman"/>
                <w:color w:val="000000"/>
                <w:szCs w:val="21"/>
                <w:highlight w:val="none"/>
                <w:lang w:val="en-US" w:eastAsia="zh-CN"/>
              </w:rPr>
              <w:t>2</w:t>
            </w:r>
            <w:r>
              <w:rPr>
                <w:rFonts w:ascii="Times New Roman" w:hAnsi="Times New Roman"/>
                <w:color w:val="000000"/>
                <w:szCs w:val="21"/>
                <w:highlight w:val="none"/>
              </w:rPr>
              <w:t>分</w:t>
            </w:r>
          </w:p>
        </w:tc>
        <w:tc>
          <w:tcPr>
            <w:tcW w:w="6613" w:type="dxa"/>
            <w:vAlign w:val="center"/>
          </w:tcPr>
          <w:p w14:paraId="3BCE4B5F">
            <w:pPr>
              <w:spacing w:line="400" w:lineRule="exact"/>
              <w:jc w:val="left"/>
              <w:rPr>
                <w:rFonts w:ascii="Times New Roman" w:hAnsi="Times New Roman"/>
                <w:color w:val="000000"/>
                <w:szCs w:val="21"/>
                <w:highlight w:val="none"/>
              </w:rPr>
            </w:pPr>
            <w:r>
              <w:rPr>
                <w:rFonts w:ascii="Times New Roman" w:hAnsi="Times New Roman"/>
                <w:color w:val="000000"/>
                <w:szCs w:val="21"/>
                <w:highlight w:val="none"/>
              </w:rPr>
              <w:t>设备、劳动力计划与工程量及抢工要求高度匹配，关键设备充足、型号合适，得2分；基本匹配得1分。</w:t>
            </w:r>
          </w:p>
        </w:tc>
      </w:tr>
    </w:tbl>
    <w:p w14:paraId="5FC9B613">
      <w:pPr>
        <w:pStyle w:val="161"/>
        <w:widowControl/>
        <w:spacing w:before="120" w:after="240" w:line="360" w:lineRule="exact"/>
        <w:ind w:firstLine="160" w:firstLineChars="50"/>
        <w:jc w:val="center"/>
        <w:rPr>
          <w:rFonts w:hint="eastAsia"/>
          <w:b/>
          <w:sz w:val="32"/>
          <w:szCs w:val="32"/>
        </w:rPr>
      </w:pPr>
      <w:r>
        <w:rPr>
          <w:rFonts w:hint="eastAsia"/>
          <w:sz w:val="32"/>
          <w:szCs w:val="32"/>
        </w:rPr>
        <w:t xml:space="preserve"> (二)商务标评分标准（</w:t>
      </w:r>
      <w:r>
        <w:rPr>
          <w:rFonts w:hint="eastAsia"/>
          <w:sz w:val="32"/>
          <w:szCs w:val="32"/>
          <w:lang w:val="en-US" w:eastAsia="zh-CN"/>
        </w:rPr>
        <w:t>7</w:t>
      </w:r>
      <w:r>
        <w:rPr>
          <w:rFonts w:hint="eastAsia"/>
          <w:sz w:val="32"/>
          <w:szCs w:val="32"/>
        </w:rPr>
        <w:t>0分）</w:t>
      </w:r>
    </w:p>
    <w:tbl>
      <w:tblPr>
        <w:tblStyle w:val="47"/>
        <w:tblW w:w="990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900"/>
        <w:gridCol w:w="6120"/>
      </w:tblGrid>
      <w:tr w14:paraId="0FB7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880" w:type="dxa"/>
            <w:tcBorders>
              <w:top w:val="single" w:color="auto" w:sz="4" w:space="0"/>
              <w:left w:val="single" w:color="auto" w:sz="4" w:space="0"/>
              <w:bottom w:val="single" w:color="auto" w:sz="4" w:space="0"/>
              <w:right w:val="single" w:color="auto" w:sz="4" w:space="0"/>
            </w:tcBorders>
            <w:noWrap w:val="0"/>
            <w:vAlign w:val="center"/>
          </w:tcPr>
          <w:p w14:paraId="4F545CD0">
            <w:pPr>
              <w:pStyle w:val="91"/>
              <w:ind w:leftChars="-1" w:hanging="2" w:hangingChars="1"/>
              <w:jc w:val="center"/>
              <w:rPr>
                <w:kern w:val="0"/>
              </w:rPr>
            </w:pPr>
            <w:r>
              <w:rPr>
                <w:rFonts w:hint="eastAsia"/>
                <w:kern w:val="0"/>
              </w:rPr>
              <w:t>项目</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1B2AB6C">
            <w:pPr>
              <w:pStyle w:val="91"/>
              <w:ind w:firstLine="100" w:firstLineChars="50"/>
              <w:jc w:val="center"/>
              <w:rPr>
                <w:kern w:val="0"/>
              </w:rPr>
            </w:pPr>
            <w:r>
              <w:rPr>
                <w:rFonts w:hint="eastAsia"/>
                <w:kern w:val="0"/>
              </w:rPr>
              <w:t>分值</w:t>
            </w:r>
          </w:p>
        </w:tc>
        <w:tc>
          <w:tcPr>
            <w:tcW w:w="6120" w:type="dxa"/>
            <w:tcBorders>
              <w:top w:val="single" w:color="auto" w:sz="4" w:space="0"/>
              <w:left w:val="single" w:color="auto" w:sz="4" w:space="0"/>
              <w:bottom w:val="single" w:color="auto" w:sz="4" w:space="0"/>
              <w:right w:val="single" w:color="auto" w:sz="4" w:space="0"/>
            </w:tcBorders>
            <w:noWrap w:val="0"/>
            <w:vAlign w:val="center"/>
          </w:tcPr>
          <w:p w14:paraId="66B5392E">
            <w:pPr>
              <w:pStyle w:val="91"/>
              <w:ind w:firstLine="2000" w:firstLineChars="1000"/>
              <w:rPr>
                <w:kern w:val="0"/>
              </w:rPr>
            </w:pPr>
            <w:r>
              <w:rPr>
                <w:rFonts w:hint="eastAsia"/>
                <w:kern w:val="0"/>
              </w:rPr>
              <w:t>评分标准</w:t>
            </w:r>
          </w:p>
        </w:tc>
      </w:tr>
      <w:tr w14:paraId="1B3C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2880" w:type="dxa"/>
            <w:tcBorders>
              <w:top w:val="single" w:color="auto" w:sz="4" w:space="0"/>
              <w:left w:val="single" w:color="auto" w:sz="4" w:space="0"/>
              <w:bottom w:val="single" w:color="auto" w:sz="4" w:space="0"/>
              <w:right w:val="single" w:color="auto" w:sz="4" w:space="0"/>
            </w:tcBorders>
            <w:noWrap w:val="0"/>
            <w:vAlign w:val="center"/>
          </w:tcPr>
          <w:p w14:paraId="2236876F">
            <w:pPr>
              <w:pStyle w:val="91"/>
              <w:spacing w:line="240" w:lineRule="auto"/>
              <w:ind w:firstLine="0" w:firstLineChars="0"/>
              <w:jc w:val="center"/>
              <w:rPr>
                <w:rFonts w:cs="宋体"/>
                <w:kern w:val="0"/>
                <w:sz w:val="24"/>
                <w:szCs w:val="24"/>
              </w:rPr>
            </w:pPr>
            <w:r>
              <w:rPr>
                <w:rFonts w:hint="eastAsia" w:cs="宋体"/>
                <w:kern w:val="0"/>
                <w:sz w:val="24"/>
                <w:szCs w:val="24"/>
              </w:rPr>
              <w:t>投标报价</w:t>
            </w:r>
          </w:p>
          <w:p w14:paraId="6F8DD94D">
            <w:pPr>
              <w:pStyle w:val="91"/>
              <w:spacing w:line="240" w:lineRule="auto"/>
              <w:ind w:firstLine="0" w:firstLineChars="0"/>
              <w:jc w:val="center"/>
              <w:rPr>
                <w:b/>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80ACEDF">
            <w:pPr>
              <w:autoSpaceDE w:val="0"/>
              <w:autoSpaceDN w:val="0"/>
              <w:adjustRightInd w:val="0"/>
              <w:spacing w:before="16" w:line="500" w:lineRule="exact"/>
              <w:ind w:right="72"/>
              <w:jc w:val="center"/>
              <w:rPr>
                <w:rFonts w:ascii="宋体" w:cs="宋体"/>
                <w:kern w:val="0"/>
                <w:sz w:val="24"/>
              </w:rPr>
            </w:pPr>
            <w:r>
              <w:rPr>
                <w:rFonts w:hint="eastAsia" w:ascii="宋体" w:cs="宋体"/>
                <w:kern w:val="0"/>
                <w:sz w:val="24"/>
                <w:lang w:val="en-US" w:eastAsia="zh-CN"/>
              </w:rPr>
              <w:t>6</w:t>
            </w:r>
            <w:r>
              <w:rPr>
                <w:rFonts w:hint="eastAsia" w:ascii="宋体" w:cs="宋体"/>
                <w:kern w:val="0"/>
                <w:sz w:val="24"/>
              </w:rPr>
              <w:t>5分</w:t>
            </w:r>
          </w:p>
        </w:tc>
        <w:tc>
          <w:tcPr>
            <w:tcW w:w="6120" w:type="dxa"/>
            <w:tcBorders>
              <w:top w:val="single" w:color="auto" w:sz="4" w:space="0"/>
              <w:left w:val="single" w:color="auto" w:sz="4" w:space="0"/>
              <w:bottom w:val="single" w:color="auto" w:sz="4" w:space="0"/>
              <w:right w:val="single" w:color="auto" w:sz="4" w:space="0"/>
            </w:tcBorders>
            <w:noWrap w:val="0"/>
            <w:vAlign w:val="center"/>
          </w:tcPr>
          <w:p w14:paraId="49A317B3">
            <w:pPr>
              <w:autoSpaceDE w:val="0"/>
              <w:autoSpaceDN w:val="0"/>
              <w:adjustRightInd w:val="0"/>
              <w:spacing w:before="16" w:line="340" w:lineRule="exact"/>
              <w:ind w:right="72"/>
              <w:rPr>
                <w:rFonts w:ascii="宋体" w:cs="宋体"/>
                <w:kern w:val="0"/>
                <w:szCs w:val="21"/>
              </w:rPr>
            </w:pPr>
            <w:r>
              <w:rPr>
                <w:rFonts w:hint="eastAsia" w:ascii="宋体" w:hAnsi="宋体"/>
                <w:bCs/>
                <w:szCs w:val="21"/>
              </w:rPr>
              <w:t>有效投标人的所报有效报价的平均值作为基准值；有效投标人的投标价与基准值比较，与基准值相等得</w:t>
            </w:r>
            <w:r>
              <w:rPr>
                <w:rFonts w:hint="eastAsia" w:ascii="宋体" w:hAnsi="宋体"/>
                <w:bCs/>
                <w:szCs w:val="21"/>
                <w:lang w:val="en-US" w:eastAsia="zh-CN"/>
              </w:rPr>
              <w:t>6</w:t>
            </w:r>
            <w:r>
              <w:rPr>
                <w:rFonts w:hint="eastAsia" w:ascii="宋体" w:hAnsi="宋体"/>
                <w:bCs/>
                <w:szCs w:val="21"/>
              </w:rPr>
              <w:t>5，在此基础上每高于1%减</w:t>
            </w:r>
            <w:r>
              <w:rPr>
                <w:rFonts w:hint="eastAsia" w:ascii="宋体" w:hAnsi="宋体"/>
                <w:bCs/>
                <w:szCs w:val="21"/>
                <w:lang w:val="en-US" w:eastAsia="zh-CN"/>
              </w:rPr>
              <w:t>0.5</w:t>
            </w:r>
            <w:r>
              <w:rPr>
                <w:rFonts w:hint="eastAsia" w:ascii="宋体" w:hAnsi="宋体"/>
                <w:bCs/>
                <w:szCs w:val="21"/>
              </w:rPr>
              <w:t>分，每低于基准值1%减0.5分，扣完为止。（不足1%的按插入法计算保留小数点后两位有效数字）。</w:t>
            </w:r>
          </w:p>
        </w:tc>
      </w:tr>
      <w:tr w14:paraId="0F6C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2880" w:type="dxa"/>
            <w:tcBorders>
              <w:top w:val="single" w:color="auto" w:sz="4" w:space="0"/>
              <w:left w:val="single" w:color="auto" w:sz="4" w:space="0"/>
              <w:bottom w:val="single" w:color="auto" w:sz="4" w:space="0"/>
              <w:right w:val="single" w:color="auto" w:sz="4" w:space="0"/>
            </w:tcBorders>
            <w:noWrap w:val="0"/>
            <w:vAlign w:val="center"/>
          </w:tcPr>
          <w:p w14:paraId="7093472D">
            <w:pPr>
              <w:pStyle w:val="91"/>
              <w:spacing w:line="240" w:lineRule="auto"/>
              <w:ind w:firstLine="0" w:firstLineChars="0"/>
              <w:jc w:val="center"/>
              <w:rPr>
                <w:rFonts w:hint="eastAsia" w:cs="宋体"/>
                <w:kern w:val="0"/>
              </w:rPr>
            </w:pPr>
            <w:r>
              <w:rPr>
                <w:rFonts w:hint="eastAsia"/>
                <w:sz w:val="24"/>
                <w:szCs w:val="24"/>
              </w:rPr>
              <w:t>报价合理性</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38B5B03">
            <w:pPr>
              <w:autoSpaceDE w:val="0"/>
              <w:autoSpaceDN w:val="0"/>
              <w:adjustRightInd w:val="0"/>
              <w:spacing w:before="16" w:line="500" w:lineRule="exact"/>
              <w:ind w:right="72"/>
              <w:jc w:val="center"/>
              <w:rPr>
                <w:rFonts w:hint="eastAsia" w:ascii="宋体" w:cs="宋体"/>
                <w:kern w:val="0"/>
                <w:sz w:val="24"/>
              </w:rPr>
            </w:pPr>
            <w:r>
              <w:rPr>
                <w:rFonts w:hint="eastAsia" w:ascii="宋体" w:cs="宋体"/>
                <w:kern w:val="0"/>
                <w:sz w:val="24"/>
              </w:rPr>
              <w:t>5分</w:t>
            </w:r>
          </w:p>
        </w:tc>
        <w:tc>
          <w:tcPr>
            <w:tcW w:w="6120" w:type="dxa"/>
            <w:tcBorders>
              <w:top w:val="single" w:color="auto" w:sz="4" w:space="0"/>
              <w:left w:val="single" w:color="auto" w:sz="4" w:space="0"/>
              <w:bottom w:val="single" w:color="auto" w:sz="4" w:space="0"/>
              <w:right w:val="single" w:color="auto" w:sz="4" w:space="0"/>
            </w:tcBorders>
            <w:noWrap w:val="0"/>
            <w:vAlign w:val="center"/>
          </w:tcPr>
          <w:p w14:paraId="12EF1AD8">
            <w:pPr>
              <w:autoSpaceDE w:val="0"/>
              <w:autoSpaceDN w:val="0"/>
              <w:adjustRightInd w:val="0"/>
              <w:spacing w:before="16" w:line="340" w:lineRule="exact"/>
              <w:ind w:right="72"/>
              <w:rPr>
                <w:rFonts w:hint="eastAsia" w:ascii="宋体" w:hAnsi="宋体"/>
                <w:bCs/>
                <w:szCs w:val="21"/>
              </w:rPr>
            </w:pPr>
            <w:r>
              <w:rPr>
                <w:rFonts w:hint="eastAsia" w:ascii="宋体" w:hAnsi="宋体"/>
                <w:szCs w:val="21"/>
              </w:rPr>
              <w:t>经专家评审综合单价计算合理，得0-5分；发生超出常规不均衡报价（明显高或明显低于市场报价）每处扣1分；有单项费用与总费用不相吻合而又解释不清的，扣0～2分。</w:t>
            </w:r>
          </w:p>
        </w:tc>
      </w:tr>
    </w:tbl>
    <w:p w14:paraId="2B61935D">
      <w:pPr>
        <w:keepNext/>
        <w:keepLines/>
        <w:spacing w:before="260" w:after="260" w:line="415" w:lineRule="auto"/>
        <w:outlineLvl w:val="9"/>
        <w:rPr>
          <w:rFonts w:hint="eastAsia" w:ascii="宋体" w:hAnsi="宋体"/>
          <w:bCs/>
          <w:color w:val="000000"/>
          <w:szCs w:val="21"/>
        </w:rPr>
      </w:pPr>
      <w:r>
        <w:rPr>
          <w:rFonts w:hint="eastAsia" w:ascii="宋体" w:hAnsi="宋体"/>
          <w:bCs/>
          <w:color w:val="000000"/>
          <w:szCs w:val="21"/>
        </w:rPr>
        <w:t>附件B：废标条件</w:t>
      </w:r>
      <w:bookmarkEnd w:id="63"/>
      <w:bookmarkEnd w:id="64"/>
    </w:p>
    <w:p w14:paraId="595F2F46">
      <w:pPr>
        <w:spacing w:before="156" w:beforeLines="50" w:after="156" w:afterLines="50" w:line="480" w:lineRule="exact"/>
        <w:jc w:val="center"/>
        <w:rPr>
          <w:rFonts w:hint="eastAsia" w:ascii="宋体" w:hAnsi="宋体"/>
          <w:color w:val="000000"/>
          <w:sz w:val="28"/>
          <w:szCs w:val="28"/>
        </w:rPr>
      </w:pPr>
      <w:r>
        <w:rPr>
          <w:rFonts w:hint="eastAsia" w:ascii="宋体" w:hAnsi="宋体"/>
          <w:color w:val="000000"/>
          <w:sz w:val="28"/>
          <w:szCs w:val="28"/>
        </w:rPr>
        <w:t>废 标 条 件</w:t>
      </w:r>
    </w:p>
    <w:p w14:paraId="33A57E20">
      <w:pPr>
        <w:spacing w:before="156" w:beforeLines="50" w:after="156" w:afterLines="50" w:line="480" w:lineRule="exact"/>
        <w:rPr>
          <w:rFonts w:hint="eastAsia" w:ascii="宋体" w:hAnsi="宋体"/>
          <w:color w:val="000000"/>
          <w:szCs w:val="21"/>
        </w:rPr>
      </w:pPr>
      <w:r>
        <w:rPr>
          <w:rFonts w:hint="eastAsia" w:ascii="宋体" w:hAnsi="宋体"/>
          <w:color w:val="000000"/>
          <w:szCs w:val="21"/>
        </w:rPr>
        <w:t>B0.总则</w:t>
      </w:r>
    </w:p>
    <w:p w14:paraId="6EE46877">
      <w:pPr>
        <w:spacing w:before="156" w:beforeLines="50" w:after="156" w:afterLines="50" w:line="480" w:lineRule="exact"/>
        <w:ind w:firstLine="420" w:firstLineChars="200"/>
        <w:rPr>
          <w:rFonts w:hint="eastAsia" w:ascii="宋体" w:hAnsi="宋体"/>
          <w:color w:val="000000"/>
          <w:szCs w:val="21"/>
        </w:rPr>
      </w:pPr>
      <w:r>
        <w:rPr>
          <w:rFonts w:hint="eastAsia" w:ascii="宋体" w:hAnsi="宋体"/>
          <w:color w:val="000000"/>
          <w:szCs w:val="21"/>
        </w:rPr>
        <w:t>本附件所集中列示的废标条件，是本章“评标办法”的组成部分，是对第二章“投标人须知”和本章正文部分所规定的废标条件的总结和补充。</w:t>
      </w:r>
    </w:p>
    <w:p w14:paraId="4B888B13">
      <w:pPr>
        <w:spacing w:line="480" w:lineRule="exact"/>
        <w:rPr>
          <w:rFonts w:hint="eastAsia" w:ascii="宋体" w:hAnsi="宋体"/>
          <w:color w:val="000000"/>
          <w:szCs w:val="21"/>
        </w:rPr>
      </w:pPr>
      <w:r>
        <w:rPr>
          <w:rFonts w:hint="eastAsia" w:ascii="宋体" w:hAnsi="宋体"/>
          <w:color w:val="000000"/>
          <w:szCs w:val="21"/>
        </w:rPr>
        <w:t xml:space="preserve">B1.废标条件 </w:t>
      </w:r>
    </w:p>
    <w:p w14:paraId="504C3CD5">
      <w:pPr>
        <w:spacing w:line="480" w:lineRule="exact"/>
        <w:rPr>
          <w:rFonts w:hint="eastAsia" w:ascii="宋体" w:hAnsi="宋体"/>
          <w:color w:val="000000"/>
          <w:szCs w:val="21"/>
        </w:rPr>
      </w:pPr>
      <w:r>
        <w:rPr>
          <w:rFonts w:hint="eastAsia" w:ascii="宋体" w:hAnsi="宋体"/>
          <w:color w:val="000000"/>
          <w:szCs w:val="21"/>
        </w:rPr>
        <w:t xml:space="preserve">    投标人或其投标文件有下列情形之一的，其投标作废标处理：</w:t>
      </w:r>
    </w:p>
    <w:p w14:paraId="17C6848F">
      <w:pPr>
        <w:spacing w:line="480" w:lineRule="exact"/>
        <w:ind w:firstLine="420" w:firstLineChars="200"/>
        <w:rPr>
          <w:rFonts w:hint="eastAsia" w:ascii="宋体" w:hAnsi="宋体"/>
          <w:color w:val="000000"/>
          <w:szCs w:val="21"/>
        </w:rPr>
      </w:pPr>
      <w:r>
        <w:rPr>
          <w:rFonts w:hint="eastAsia" w:ascii="宋体" w:hAnsi="宋体"/>
          <w:color w:val="000000"/>
          <w:szCs w:val="21"/>
        </w:rPr>
        <w:t>B1.1有第二章“投标人须知”第1.4.3项规定的任何一种情形的。</w:t>
      </w:r>
    </w:p>
    <w:p w14:paraId="35D818DF">
      <w:pPr>
        <w:spacing w:line="480" w:lineRule="exact"/>
        <w:ind w:firstLine="420" w:firstLineChars="200"/>
        <w:rPr>
          <w:rFonts w:hint="eastAsia" w:ascii="宋体" w:hAnsi="宋体"/>
          <w:color w:val="000000"/>
          <w:szCs w:val="21"/>
        </w:rPr>
      </w:pPr>
      <w:r>
        <w:rPr>
          <w:rFonts w:hint="eastAsia" w:ascii="宋体" w:hAnsi="宋体"/>
          <w:color w:val="000000"/>
          <w:szCs w:val="21"/>
        </w:rPr>
        <w:t>B1.2 有串通投标或弄虚作假或其他违法行为的，详见下款：</w:t>
      </w:r>
    </w:p>
    <w:p w14:paraId="3E3F0252">
      <w:pPr>
        <w:spacing w:line="480" w:lineRule="exact"/>
        <w:ind w:firstLine="420" w:firstLineChars="200"/>
        <w:rPr>
          <w:rFonts w:hint="eastAsia" w:ascii="宋体" w:hAnsi="宋体"/>
          <w:bCs/>
          <w:color w:val="000000"/>
          <w:kern w:val="0"/>
          <w:szCs w:val="21"/>
        </w:rPr>
      </w:pPr>
      <w:r>
        <w:rPr>
          <w:rFonts w:hint="eastAsia" w:ascii="宋体" w:hAnsi="宋体"/>
          <w:bCs/>
          <w:color w:val="000000"/>
          <w:kern w:val="0"/>
          <w:szCs w:val="21"/>
        </w:rPr>
        <w:t>B1.2.1投标人之间协商投标报价等投标文件的实质性内容；</w:t>
      </w:r>
    </w:p>
    <w:p w14:paraId="1248DF6E">
      <w:pPr>
        <w:spacing w:line="480" w:lineRule="exact"/>
        <w:ind w:firstLine="420" w:firstLineChars="200"/>
        <w:rPr>
          <w:rFonts w:hint="eastAsia" w:ascii="宋体" w:hAnsi="宋体"/>
          <w:bCs/>
          <w:color w:val="000000"/>
          <w:kern w:val="0"/>
          <w:szCs w:val="21"/>
        </w:rPr>
      </w:pPr>
      <w:r>
        <w:rPr>
          <w:rFonts w:hint="eastAsia" w:ascii="宋体" w:hAnsi="宋体"/>
          <w:bCs/>
          <w:color w:val="000000"/>
          <w:kern w:val="0"/>
          <w:szCs w:val="21"/>
        </w:rPr>
        <w:t>B1.2.2投标人之间约定中标人；</w:t>
      </w:r>
    </w:p>
    <w:p w14:paraId="10B0380F">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 xml:space="preserve"> B1.2.3投标人之间约定部分投标人放弃投标或者中标；</w:t>
      </w:r>
    </w:p>
    <w:p w14:paraId="53635AA9">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 xml:space="preserve"> B1.2.4属于同一集团、协会、商会等组织成员的投标人按照该组织要求协同投标；</w:t>
      </w:r>
    </w:p>
    <w:p w14:paraId="2599DC9D">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 xml:space="preserve"> B1.2.5投标人之间为谋取中标或者排斥特定投标人而采取的其他联合行动；</w:t>
      </w:r>
    </w:p>
    <w:p w14:paraId="1AB136FF">
      <w:pPr>
        <w:autoSpaceDE w:val="0"/>
        <w:autoSpaceDN w:val="0"/>
        <w:spacing w:line="500" w:lineRule="exact"/>
        <w:ind w:firstLine="424" w:firstLineChars="202"/>
        <w:jc w:val="left"/>
        <w:rPr>
          <w:rFonts w:hint="eastAsia" w:ascii="宋体" w:hAnsi="宋体"/>
          <w:bCs/>
          <w:color w:val="000000"/>
          <w:kern w:val="0"/>
          <w:szCs w:val="21"/>
        </w:rPr>
      </w:pPr>
      <w:r>
        <w:rPr>
          <w:rFonts w:hint="eastAsia" w:ascii="宋体" w:hAnsi="宋体"/>
          <w:bCs/>
          <w:color w:val="000000"/>
          <w:kern w:val="0"/>
          <w:szCs w:val="21"/>
        </w:rPr>
        <w:t>B1.2.6不同投标人的投标文件由同一单位或者个人编制；</w:t>
      </w:r>
    </w:p>
    <w:p w14:paraId="1B97A4D0">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 xml:space="preserve"> B1.2.7不同投标人委托同一单位或者个人办理投标事宜；</w:t>
      </w:r>
    </w:p>
    <w:p w14:paraId="239A80AD">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 xml:space="preserve"> B1.2.8不同投标人的投标文件载明的项目管理成员为同一人；</w:t>
      </w:r>
    </w:p>
    <w:p w14:paraId="794740C4">
      <w:pPr>
        <w:autoSpaceDE w:val="0"/>
        <w:autoSpaceDN w:val="0"/>
        <w:spacing w:line="500" w:lineRule="exact"/>
        <w:ind w:firstLine="315" w:firstLineChars="150"/>
        <w:jc w:val="left"/>
        <w:rPr>
          <w:rFonts w:hint="eastAsia" w:ascii="宋体" w:hAnsi="宋体"/>
          <w:bCs/>
          <w:color w:val="000000"/>
          <w:kern w:val="0"/>
          <w:szCs w:val="21"/>
        </w:rPr>
      </w:pPr>
      <w:r>
        <w:rPr>
          <w:rFonts w:hint="eastAsia" w:ascii="宋体" w:hAnsi="宋体"/>
          <w:bCs/>
          <w:color w:val="000000"/>
          <w:kern w:val="0"/>
          <w:szCs w:val="21"/>
        </w:rPr>
        <w:t xml:space="preserve"> B1.2.9 不同投标人聘请同一个人为其投标提供技术或者经济咨询服务的，但招标工程本身要求采用专有技术的除外；</w:t>
      </w:r>
    </w:p>
    <w:p w14:paraId="3D8C89D4">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B1.2.10不同投标人的投标文件异常一致或者投标报价呈规律性差异；</w:t>
      </w:r>
    </w:p>
    <w:p w14:paraId="53904FC6">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B1.2.11不同投标人的投标文件错漏之处一致的；</w:t>
      </w:r>
    </w:p>
    <w:p w14:paraId="62513CE3">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B1.2.12不同投标人的投标文件相互混装；</w:t>
      </w:r>
    </w:p>
    <w:p w14:paraId="6199C820">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B1.2.13不同投标人的投标文件由同一台电脑编制或者同一台附属设备打印；</w:t>
      </w:r>
    </w:p>
    <w:p w14:paraId="639F5089">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B1.2.14不同投标人的投标保证金从同一单位或者个人的账户转出；</w:t>
      </w:r>
    </w:p>
    <w:p w14:paraId="71E17A99">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B1.2.15不同投标人使用同一个人或者企业资金交纳投标保证金或者投标保函的反担保的；</w:t>
      </w:r>
    </w:p>
    <w:p w14:paraId="72292FD2">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B1.2.16使用伪造、变造的许可证件；</w:t>
      </w:r>
    </w:p>
    <w:p w14:paraId="311C8F64">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B1.2.17提供虚假的财务状况或者业绩；</w:t>
      </w:r>
    </w:p>
    <w:p w14:paraId="2FB5ABCC">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B1.2.18提供虚假的项目负责人或者主要技术人员简历、劳动关系证明；</w:t>
      </w:r>
    </w:p>
    <w:p w14:paraId="678C7AFD">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B1.2.19提供虚假的信用状况；</w:t>
      </w:r>
    </w:p>
    <w:p w14:paraId="13571980">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B1.2.20其他弄虚作假的行为；</w:t>
      </w:r>
    </w:p>
    <w:p w14:paraId="0F79F1F5">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B1.2.21招标人在开标前开启投标文件并将有关信息泄露给其他投标人；</w:t>
      </w:r>
    </w:p>
    <w:p w14:paraId="54440F28">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B1.2.22招标人直接或者间接向投标人泄露标底、评标委员会成员等信息；</w:t>
      </w:r>
    </w:p>
    <w:p w14:paraId="5206527D">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B1.2.23招标人明示或者暗示投标人压低或者抬高投标报价；</w:t>
      </w:r>
    </w:p>
    <w:p w14:paraId="579760E6">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B1.2.24招标人授意投标人撤换、修改投标文件；</w:t>
      </w:r>
    </w:p>
    <w:p w14:paraId="656D2913">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B1.2.25招标人明示或者暗示投标人为特定投标人中标提供方便；</w:t>
      </w:r>
    </w:p>
    <w:p w14:paraId="27CDAFB8">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B1.2.26招标人与投标人为谋求特定投标人中标而采取的其他串通行为；</w:t>
      </w:r>
    </w:p>
    <w:p w14:paraId="18DAFC50">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B1.2.27评标委员会认定的其他串通投标情形；</w:t>
      </w:r>
    </w:p>
    <w:p w14:paraId="240E5411">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B1.3不按评标委员会要求澄清、说明或补正的。</w:t>
      </w:r>
    </w:p>
    <w:p w14:paraId="54BBE332">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B1.4在形式评审、资格评审（适用于未进行资格预审的）、响应性评审中，评标委员会认定投标人的投标文件不符合评标办法前附表中规定的任何一项评审标准的。</w:t>
      </w:r>
    </w:p>
    <w:p w14:paraId="4707D8E5">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B1.5当投标人资格预审申请文件的内容发生重大变化时，其在投标文件中更新的资料，未能通过资格评审的（适用于已进行资格预审的）。</w:t>
      </w:r>
    </w:p>
    <w:p w14:paraId="131899F8">
      <w:pPr>
        <w:autoSpaceDE w:val="0"/>
        <w:autoSpaceDN w:val="0"/>
        <w:spacing w:line="500" w:lineRule="exact"/>
        <w:ind w:firstLine="360"/>
        <w:rPr>
          <w:rFonts w:hint="eastAsia" w:ascii="宋体" w:hAnsi="宋体"/>
          <w:bCs/>
          <w:color w:val="000000"/>
          <w:kern w:val="0"/>
          <w:szCs w:val="21"/>
        </w:rPr>
      </w:pPr>
      <w:r>
        <w:rPr>
          <w:rFonts w:ascii="宋体" w:hAnsi="宋体"/>
          <w:bCs/>
          <w:color w:val="000000"/>
          <w:kern w:val="0"/>
          <w:szCs w:val="21"/>
        </w:rPr>
        <w:t>B1.6投标报价文件（投标函除外）未经有资格的</w:t>
      </w:r>
      <w:r>
        <w:rPr>
          <w:rFonts w:hint="eastAsia" w:ascii="宋体" w:hAnsi="宋体"/>
          <w:bCs/>
          <w:color w:val="000000"/>
          <w:kern w:val="0"/>
          <w:szCs w:val="21"/>
        </w:rPr>
        <w:t>注册</w:t>
      </w:r>
      <w:r>
        <w:rPr>
          <w:rFonts w:ascii="宋体" w:hAnsi="宋体"/>
          <w:bCs/>
          <w:color w:val="000000"/>
          <w:kern w:val="0"/>
          <w:szCs w:val="21"/>
        </w:rPr>
        <w:t>造价</w:t>
      </w:r>
      <w:r>
        <w:rPr>
          <w:rFonts w:hint="eastAsia" w:ascii="宋体" w:hAnsi="宋体"/>
          <w:bCs/>
          <w:color w:val="000000"/>
          <w:kern w:val="0"/>
          <w:szCs w:val="21"/>
        </w:rPr>
        <w:t>工程师</w:t>
      </w:r>
      <w:r>
        <w:rPr>
          <w:rFonts w:ascii="宋体" w:hAnsi="宋体"/>
          <w:bCs/>
          <w:color w:val="000000"/>
          <w:kern w:val="0"/>
          <w:szCs w:val="21"/>
        </w:rPr>
        <w:t>签字并加盖</w:t>
      </w:r>
      <w:r>
        <w:rPr>
          <w:rFonts w:hint="eastAsia" w:ascii="宋体" w:hAnsi="宋体"/>
          <w:bCs/>
          <w:color w:val="000000"/>
          <w:kern w:val="0"/>
          <w:szCs w:val="21"/>
        </w:rPr>
        <w:t>其</w:t>
      </w:r>
      <w:r>
        <w:rPr>
          <w:rFonts w:ascii="宋体" w:hAnsi="宋体"/>
          <w:bCs/>
          <w:color w:val="000000"/>
          <w:kern w:val="0"/>
          <w:szCs w:val="21"/>
        </w:rPr>
        <w:t>执业专用章的</w:t>
      </w:r>
      <w:r>
        <w:rPr>
          <w:rFonts w:hint="eastAsia" w:ascii="宋体" w:hAnsi="宋体"/>
          <w:bCs/>
          <w:color w:val="000000"/>
          <w:kern w:val="0"/>
          <w:szCs w:val="21"/>
        </w:rPr>
        <w:t>(盖章的注册造价工程师应是在本单位注册人员，或是投标人委托的造价咨询机构注册造价工程师并附委托合同)</w:t>
      </w:r>
      <w:r>
        <w:rPr>
          <w:rFonts w:ascii="宋体" w:hAnsi="宋体"/>
          <w:bCs/>
          <w:color w:val="000000"/>
          <w:kern w:val="0"/>
          <w:szCs w:val="21"/>
        </w:rPr>
        <w:t>。</w:t>
      </w:r>
    </w:p>
    <w:p w14:paraId="31D76B3A">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B1.7在技术标和资信标评审中，评标委员会认定投标人的投标未能通过此项评审的。</w:t>
      </w:r>
    </w:p>
    <w:p w14:paraId="30396963">
      <w:pPr>
        <w:autoSpaceDE w:val="0"/>
        <w:autoSpaceDN w:val="0"/>
        <w:spacing w:line="500" w:lineRule="exact"/>
        <w:ind w:firstLine="360"/>
        <w:rPr>
          <w:rFonts w:hint="eastAsia" w:ascii="宋体" w:hAnsi="宋体"/>
          <w:bCs/>
          <w:color w:val="000000"/>
          <w:kern w:val="0"/>
          <w:szCs w:val="21"/>
        </w:rPr>
      </w:pPr>
      <w:r>
        <w:rPr>
          <w:rFonts w:hint="eastAsia" w:ascii="宋体" w:hAnsi="宋体"/>
          <w:bCs/>
          <w:color w:val="000000"/>
          <w:kern w:val="0"/>
          <w:szCs w:val="21"/>
        </w:rPr>
        <w:t>B1.8评标委员会认定投标人以低于成本报价竞标的。</w:t>
      </w:r>
    </w:p>
    <w:p w14:paraId="41FF23BB">
      <w:pPr>
        <w:autoSpaceDE w:val="0"/>
        <w:autoSpaceDN w:val="0"/>
        <w:spacing w:line="500" w:lineRule="exact"/>
        <w:ind w:firstLine="360"/>
        <w:rPr>
          <w:rFonts w:ascii="Times New Roman" w:hAnsi="Times New Roman"/>
          <w:b/>
          <w:bCs w:val="0"/>
          <w:i w:val="0"/>
          <w:color w:val="000000"/>
          <w:kern w:val="2"/>
          <w:sz w:val="44"/>
          <w:szCs w:val="44"/>
        </w:rPr>
      </w:pPr>
      <w:r>
        <w:rPr>
          <w:rFonts w:hint="eastAsia" w:ascii="宋体" w:hAnsi="宋体"/>
          <w:bCs/>
          <w:color w:val="000000"/>
          <w:kern w:val="0"/>
          <w:szCs w:val="21"/>
        </w:rPr>
        <w:t>B1.9投标人未按第二章“投标人须知”第10.6款规定出席开标会的。</w:t>
      </w:r>
    </w:p>
    <w:p w14:paraId="3A8A26A5">
      <w:pPr>
        <w:rPr>
          <w:rFonts w:ascii="Times New Roman" w:hAnsi="Times New Roman"/>
          <w:b/>
          <w:bCs w:val="0"/>
          <w:i w:val="0"/>
          <w:color w:val="000000"/>
          <w:kern w:val="2"/>
          <w:sz w:val="44"/>
          <w:szCs w:val="44"/>
        </w:rPr>
      </w:pPr>
      <w:r>
        <w:rPr>
          <w:rFonts w:ascii="Times New Roman" w:hAnsi="Times New Roman"/>
          <w:b/>
          <w:color w:val="000000"/>
          <w:sz w:val="44"/>
          <w:szCs w:val="44"/>
        </w:rPr>
        <w:br w:type="page"/>
      </w:r>
    </w:p>
    <w:p w14:paraId="60F94D06">
      <w:pPr>
        <w:pStyle w:val="179"/>
        <w:keepNext w:val="0"/>
        <w:keepLines w:val="0"/>
        <w:widowControl/>
        <w:numPr>
          <w:ilvl w:val="0"/>
          <w:numId w:val="3"/>
        </w:numPr>
        <w:spacing w:before="0" w:after="0" w:line="600" w:lineRule="auto"/>
        <w:ind w:firstLine="2209" w:firstLineChars="500"/>
        <w:outlineLvl w:val="0"/>
        <w:rPr>
          <w:rFonts w:ascii="Times New Roman" w:hAnsi="Times New Roman"/>
          <w:b/>
          <w:bCs w:val="0"/>
          <w:i w:val="0"/>
          <w:color w:val="000000"/>
          <w:kern w:val="2"/>
          <w:sz w:val="44"/>
          <w:szCs w:val="44"/>
        </w:rPr>
      </w:pPr>
      <w:bookmarkStart w:id="66" w:name="_Toc10187"/>
      <w:r>
        <w:rPr>
          <w:rFonts w:hint="eastAsia" w:ascii="Times New Roman" w:hAnsi="Times New Roman"/>
          <w:b/>
          <w:bCs w:val="0"/>
          <w:i w:val="0"/>
          <w:color w:val="000000"/>
          <w:kern w:val="2"/>
          <w:sz w:val="44"/>
          <w:szCs w:val="44"/>
        </w:rPr>
        <w:t>合同条款及格式</w:t>
      </w:r>
      <w:bookmarkEnd w:id="66"/>
    </w:p>
    <w:p w14:paraId="77C5F3AB">
      <w:pPr>
        <w:spacing w:before="468" w:beforeLines="150" w:after="468" w:afterLines="150"/>
        <w:jc w:val="center"/>
        <w:rPr>
          <w:rFonts w:hint="eastAsia"/>
          <w:b/>
          <w:sz w:val="52"/>
          <w:szCs w:val="52"/>
        </w:rPr>
      </w:pPr>
      <w:r>
        <w:rPr>
          <w:rFonts w:hint="eastAsia"/>
          <w:b/>
          <w:sz w:val="52"/>
          <w:szCs w:val="52"/>
        </w:rPr>
        <w:t>济南黄河爆破工程有限责任公司</w:t>
      </w:r>
    </w:p>
    <w:p w14:paraId="657DD4B7">
      <w:pPr>
        <w:spacing w:line="600" w:lineRule="auto"/>
        <w:jc w:val="center"/>
        <w:rPr>
          <w:rFonts w:hint="eastAsia"/>
          <w:b/>
          <w:sz w:val="52"/>
          <w:szCs w:val="52"/>
        </w:rPr>
      </w:pPr>
      <w:r>
        <w:rPr>
          <w:rFonts w:hint="eastAsia"/>
          <w:b/>
          <w:sz w:val="52"/>
          <w:szCs w:val="52"/>
        </w:rPr>
        <w:t>矿山连接道路破损维修施工合同</w:t>
      </w:r>
    </w:p>
    <w:p w14:paraId="2724339A">
      <w:pPr>
        <w:ind w:firstLine="3456" w:firstLineChars="1646"/>
        <w:rPr>
          <w:rFonts w:hint="eastAsia"/>
        </w:rPr>
      </w:pPr>
    </w:p>
    <w:p w14:paraId="51DB0647">
      <w:pPr>
        <w:ind w:firstLine="3456" w:firstLineChars="1646"/>
        <w:rPr>
          <w:rFonts w:hint="eastAsia"/>
        </w:rPr>
      </w:pPr>
    </w:p>
    <w:p w14:paraId="6149B5D2">
      <w:pPr>
        <w:ind w:firstLine="3456" w:firstLineChars="1646"/>
        <w:rPr>
          <w:rFonts w:hint="eastAsia"/>
        </w:rPr>
      </w:pPr>
    </w:p>
    <w:p w14:paraId="3614DBF9">
      <w:pPr>
        <w:ind w:firstLine="3456" w:firstLineChars="1646"/>
        <w:rPr>
          <w:rFonts w:hint="eastAsia"/>
        </w:rPr>
      </w:pPr>
    </w:p>
    <w:p w14:paraId="61011BA6">
      <w:pPr>
        <w:ind w:firstLine="3456" w:firstLineChars="1646"/>
        <w:rPr>
          <w:rFonts w:hint="eastAsia"/>
        </w:rPr>
      </w:pPr>
    </w:p>
    <w:p w14:paraId="03B70D92">
      <w:pPr>
        <w:ind w:firstLine="3456" w:firstLineChars="1646"/>
        <w:rPr>
          <w:rFonts w:hint="eastAsia"/>
        </w:rPr>
      </w:pPr>
    </w:p>
    <w:p w14:paraId="21ABCA35">
      <w:pPr>
        <w:ind w:firstLine="3456" w:firstLineChars="1646"/>
        <w:rPr>
          <w:rFonts w:hint="eastAsia"/>
        </w:rPr>
      </w:pPr>
    </w:p>
    <w:p w14:paraId="58BCEF1E">
      <w:pPr>
        <w:ind w:firstLine="3456" w:firstLineChars="1646"/>
        <w:rPr>
          <w:rFonts w:hint="eastAsia"/>
        </w:rPr>
      </w:pPr>
    </w:p>
    <w:p w14:paraId="794A2B26">
      <w:pPr>
        <w:rPr>
          <w:rFonts w:hint="eastAsia"/>
        </w:rPr>
      </w:pPr>
    </w:p>
    <w:p w14:paraId="28A638AD">
      <w:pPr>
        <w:spacing w:line="360" w:lineRule="auto"/>
        <w:ind w:firstLine="1120" w:firstLineChars="400"/>
        <w:rPr>
          <w:rFonts w:hint="eastAsia" w:ascii="黑体" w:eastAsia="黑体"/>
          <w:sz w:val="28"/>
          <w:szCs w:val="28"/>
        </w:rPr>
      </w:pPr>
    </w:p>
    <w:p w14:paraId="783B3C9F">
      <w:pPr>
        <w:spacing w:line="360" w:lineRule="auto"/>
        <w:ind w:firstLine="1120" w:firstLineChars="400"/>
        <w:rPr>
          <w:rFonts w:hint="eastAsia" w:ascii="黑体" w:eastAsia="黑体"/>
          <w:sz w:val="28"/>
          <w:szCs w:val="28"/>
        </w:rPr>
      </w:pPr>
    </w:p>
    <w:p w14:paraId="28270D47">
      <w:pPr>
        <w:spacing w:line="360" w:lineRule="auto"/>
        <w:ind w:firstLine="1120" w:firstLineChars="400"/>
        <w:rPr>
          <w:rFonts w:hint="eastAsia" w:ascii="黑体" w:eastAsia="黑体"/>
          <w:sz w:val="28"/>
          <w:szCs w:val="28"/>
        </w:rPr>
      </w:pPr>
    </w:p>
    <w:p w14:paraId="3A14E73D">
      <w:pPr>
        <w:spacing w:line="360" w:lineRule="auto"/>
        <w:ind w:firstLine="1120" w:firstLineChars="400"/>
        <w:rPr>
          <w:rFonts w:hint="eastAsia" w:ascii="黑体" w:eastAsia="黑体"/>
          <w:sz w:val="28"/>
          <w:szCs w:val="28"/>
        </w:rPr>
      </w:pPr>
    </w:p>
    <w:p w14:paraId="2FEBDA3E">
      <w:pPr>
        <w:spacing w:line="360" w:lineRule="auto"/>
        <w:ind w:firstLine="1280" w:firstLineChars="400"/>
        <w:rPr>
          <w:rFonts w:hint="eastAsia" w:ascii="黑体" w:eastAsia="黑体"/>
          <w:sz w:val="32"/>
          <w:szCs w:val="32"/>
          <w:u w:val="single"/>
        </w:rPr>
      </w:pPr>
      <w:r>
        <w:rPr>
          <w:rFonts w:hint="eastAsia" w:ascii="黑体" w:eastAsia="黑体"/>
          <w:sz w:val="32"/>
          <w:szCs w:val="32"/>
        </w:rPr>
        <w:t>签  订</w:t>
      </w:r>
      <w:r>
        <w:rPr>
          <w:rFonts w:ascii="黑体" w:eastAsia="黑体"/>
          <w:sz w:val="32"/>
          <w:szCs w:val="32"/>
        </w:rPr>
        <w:t xml:space="preserve">  </w:t>
      </w:r>
      <w:r>
        <w:rPr>
          <w:rFonts w:hint="eastAsia" w:ascii="黑体" w:eastAsia="黑体"/>
          <w:sz w:val="32"/>
          <w:szCs w:val="32"/>
        </w:rPr>
        <w:t>地</w:t>
      </w:r>
      <w:r>
        <w:rPr>
          <w:rFonts w:ascii="黑体" w:eastAsia="黑体"/>
          <w:sz w:val="32"/>
          <w:szCs w:val="32"/>
        </w:rPr>
        <w:t xml:space="preserve">  </w:t>
      </w:r>
      <w:r>
        <w:rPr>
          <w:rFonts w:hint="eastAsia" w:ascii="黑体" w:eastAsia="黑体"/>
          <w:sz w:val="32"/>
          <w:szCs w:val="32"/>
        </w:rPr>
        <w:t>点：济南市章丘区</w:t>
      </w:r>
    </w:p>
    <w:p w14:paraId="1B2BCEDA">
      <w:pPr>
        <w:spacing w:line="360" w:lineRule="auto"/>
        <w:ind w:firstLine="1280" w:firstLineChars="400"/>
        <w:rPr>
          <w:rFonts w:hint="eastAsia" w:ascii="黑体" w:eastAsia="黑体"/>
          <w:sz w:val="32"/>
          <w:szCs w:val="32"/>
        </w:rPr>
      </w:pPr>
      <w:r>
        <w:rPr>
          <w:rFonts w:hint="eastAsia" w:ascii="黑体" w:eastAsia="黑体"/>
          <w:sz w:val="32"/>
          <w:szCs w:val="32"/>
        </w:rPr>
        <w:t>合</w:t>
      </w:r>
      <w:r>
        <w:rPr>
          <w:rFonts w:ascii="黑体" w:eastAsia="黑体"/>
          <w:sz w:val="32"/>
          <w:szCs w:val="32"/>
        </w:rPr>
        <w:t xml:space="preserve">  </w:t>
      </w:r>
      <w:r>
        <w:rPr>
          <w:rFonts w:hint="eastAsia" w:ascii="黑体" w:eastAsia="黑体"/>
          <w:sz w:val="32"/>
          <w:szCs w:val="32"/>
        </w:rPr>
        <w:t>同</w:t>
      </w:r>
      <w:r>
        <w:rPr>
          <w:rFonts w:ascii="黑体" w:eastAsia="黑体"/>
          <w:sz w:val="32"/>
          <w:szCs w:val="32"/>
        </w:rPr>
        <w:t xml:space="preserve">  </w:t>
      </w:r>
      <w:r>
        <w:rPr>
          <w:rFonts w:hint="eastAsia" w:ascii="黑体" w:eastAsia="黑体"/>
          <w:sz w:val="32"/>
          <w:szCs w:val="32"/>
        </w:rPr>
        <w:t>编</w:t>
      </w:r>
      <w:r>
        <w:rPr>
          <w:rFonts w:ascii="黑体" w:eastAsia="黑体"/>
          <w:sz w:val="32"/>
          <w:szCs w:val="32"/>
        </w:rPr>
        <w:t xml:space="preserve">  </w:t>
      </w:r>
      <w:r>
        <w:rPr>
          <w:rFonts w:hint="eastAsia" w:ascii="黑体" w:eastAsia="黑体"/>
          <w:sz w:val="32"/>
          <w:szCs w:val="32"/>
        </w:rPr>
        <w:t>号：</w:t>
      </w:r>
    </w:p>
    <w:p w14:paraId="3569D107">
      <w:pPr>
        <w:spacing w:line="360" w:lineRule="auto"/>
        <w:ind w:firstLine="1280" w:firstLineChars="400"/>
        <w:rPr>
          <w:rFonts w:hint="eastAsia" w:ascii="黑体" w:eastAsia="黑体"/>
          <w:sz w:val="32"/>
          <w:szCs w:val="32"/>
        </w:rPr>
      </w:pPr>
      <w:r>
        <w:rPr>
          <w:rFonts w:hint="eastAsia" w:ascii="黑体" w:eastAsia="黑体"/>
          <w:sz w:val="32"/>
          <w:szCs w:val="32"/>
        </w:rPr>
        <w:t>甲  方：</w:t>
      </w:r>
      <w:r>
        <w:rPr>
          <w:rFonts w:hint="eastAsia" w:ascii="黑体" w:eastAsia="黑体"/>
          <w:sz w:val="32"/>
          <w:szCs w:val="32"/>
          <w:u w:val="single"/>
        </w:rPr>
        <w:t>济南黄河爆破工程有限责任公司</w:t>
      </w:r>
    </w:p>
    <w:p w14:paraId="4099869D">
      <w:pPr>
        <w:spacing w:line="360" w:lineRule="auto"/>
        <w:ind w:firstLine="1280" w:firstLineChars="400"/>
        <w:rPr>
          <w:rFonts w:hint="eastAsia" w:ascii="黑体" w:hAnsi="宋体" w:eastAsia="黑体" w:cs="宋体"/>
          <w:sz w:val="32"/>
          <w:szCs w:val="32"/>
          <w:u w:val="single"/>
        </w:rPr>
      </w:pPr>
      <w:r>
        <w:rPr>
          <w:rFonts w:hint="eastAsia" w:ascii="黑体" w:eastAsia="黑体"/>
          <w:sz w:val="32"/>
          <w:szCs w:val="32"/>
        </w:rPr>
        <w:t>乙  方：</w:t>
      </w:r>
      <w:bookmarkStart w:id="67" w:name="OLE_LINK2"/>
    </w:p>
    <w:bookmarkEnd w:id="67"/>
    <w:p w14:paraId="64F56CFE">
      <w:pPr>
        <w:ind w:right="27" w:rightChars="13" w:firstLine="1280" w:firstLineChars="400"/>
        <w:rPr>
          <w:rFonts w:hint="eastAsia" w:ascii="黑体" w:eastAsia="黑体"/>
          <w:sz w:val="32"/>
          <w:szCs w:val="32"/>
        </w:rPr>
      </w:pPr>
      <w:r>
        <w:rPr>
          <w:rFonts w:hint="eastAsia" w:ascii="黑体" w:eastAsia="黑体"/>
          <w:sz w:val="32"/>
          <w:szCs w:val="32"/>
        </w:rPr>
        <w:t>签</w:t>
      </w:r>
      <w:r>
        <w:rPr>
          <w:rFonts w:ascii="黑体" w:eastAsia="黑体"/>
          <w:sz w:val="32"/>
          <w:szCs w:val="32"/>
        </w:rPr>
        <w:t xml:space="preserve">  </w:t>
      </w:r>
      <w:r>
        <w:rPr>
          <w:rFonts w:hint="eastAsia" w:ascii="黑体" w:eastAsia="黑体"/>
          <w:sz w:val="32"/>
          <w:szCs w:val="32"/>
        </w:rPr>
        <w:t>订</w:t>
      </w:r>
      <w:r>
        <w:rPr>
          <w:rFonts w:ascii="黑体" w:eastAsia="黑体"/>
          <w:sz w:val="32"/>
          <w:szCs w:val="32"/>
        </w:rPr>
        <w:t xml:space="preserve">  </w:t>
      </w:r>
      <w:r>
        <w:rPr>
          <w:rFonts w:hint="eastAsia" w:ascii="黑体" w:eastAsia="黑体"/>
          <w:sz w:val="32"/>
          <w:szCs w:val="32"/>
        </w:rPr>
        <w:t>日</w:t>
      </w:r>
      <w:r>
        <w:rPr>
          <w:rFonts w:ascii="黑体" w:eastAsia="黑体"/>
          <w:sz w:val="32"/>
          <w:szCs w:val="32"/>
        </w:rPr>
        <w:t xml:space="preserve">  </w:t>
      </w:r>
      <w:r>
        <w:rPr>
          <w:rFonts w:hint="eastAsia" w:ascii="黑体" w:eastAsia="黑体"/>
          <w:sz w:val="32"/>
          <w:szCs w:val="32"/>
        </w:rPr>
        <w:t>期：</w:t>
      </w:r>
      <w:r>
        <w:rPr>
          <w:rFonts w:ascii="黑体" w:eastAsia="黑体"/>
          <w:sz w:val="32"/>
          <w:szCs w:val="32"/>
        </w:rPr>
        <w:t xml:space="preserve">  </w:t>
      </w:r>
      <w:r>
        <w:rPr>
          <w:rFonts w:hint="eastAsia" w:ascii="黑体" w:eastAsia="黑体"/>
          <w:sz w:val="32"/>
          <w:szCs w:val="32"/>
        </w:rPr>
        <w:t xml:space="preserve">  年  月    日</w:t>
      </w:r>
    </w:p>
    <w:p w14:paraId="2F53F63A">
      <w:pPr>
        <w:spacing w:line="360" w:lineRule="auto"/>
        <w:ind w:firstLine="1280" w:firstLineChars="400"/>
        <w:rPr>
          <w:rFonts w:hint="eastAsia" w:ascii="黑体" w:eastAsia="黑体"/>
          <w:sz w:val="32"/>
          <w:szCs w:val="32"/>
          <w:u w:val="single"/>
        </w:rPr>
      </w:pPr>
      <w:r>
        <w:rPr>
          <w:rFonts w:hint="eastAsia" w:ascii="黑体" w:eastAsia="黑体"/>
          <w:sz w:val="32"/>
          <w:szCs w:val="32"/>
          <w:u w:val="single"/>
        </w:rPr>
        <w:t>签  订  地  点：山东省济南市章丘区</w:t>
      </w:r>
    </w:p>
    <w:p w14:paraId="4319E9BC">
      <w:pPr>
        <w:spacing w:line="400" w:lineRule="auto"/>
        <w:jc w:val="center"/>
        <w:rPr>
          <w:rFonts w:hint="eastAsia"/>
          <w:color w:val="000000"/>
          <w:sz w:val="60"/>
        </w:rPr>
      </w:pPr>
    </w:p>
    <w:p w14:paraId="0FD98ACC">
      <w:pPr>
        <w:pStyle w:val="46"/>
        <w:ind w:left="0" w:leftChars="0" w:firstLine="0" w:firstLineChars="0"/>
        <w:jc w:val="center"/>
        <w:rPr>
          <w:rFonts w:hint="eastAsia" w:ascii="宋体" w:hAnsi="宋体" w:eastAsia="等线"/>
          <w:b/>
          <w:bCs/>
          <w:color w:val="000000"/>
          <w:kern w:val="2"/>
          <w:sz w:val="32"/>
          <w:szCs w:val="32"/>
        </w:rPr>
      </w:pPr>
      <w:r>
        <w:rPr>
          <w:rFonts w:hint="eastAsia" w:ascii="宋体" w:hAnsi="宋体" w:eastAsia="等线"/>
          <w:b/>
          <w:bCs/>
          <w:color w:val="000000"/>
          <w:kern w:val="2"/>
          <w:sz w:val="32"/>
          <w:szCs w:val="32"/>
        </w:rPr>
        <w:t>矿山连接道路破损维修施工合同</w:t>
      </w:r>
    </w:p>
    <w:p w14:paraId="27AE6530">
      <w:pPr>
        <w:spacing w:line="360" w:lineRule="auto"/>
        <w:jc w:val="left"/>
        <w:rPr>
          <w:rFonts w:hint="eastAsia" w:ascii="宋体"/>
          <w:sz w:val="28"/>
          <w:szCs w:val="36"/>
        </w:rPr>
      </w:pPr>
      <w:r>
        <w:rPr>
          <w:rFonts w:hint="eastAsia"/>
          <w:color w:val="000000"/>
          <w:sz w:val="28"/>
        </w:rPr>
        <w:t>发包方：</w:t>
      </w:r>
      <w:r>
        <w:rPr>
          <w:rFonts w:hint="eastAsia"/>
          <w:color w:val="000000"/>
          <w:sz w:val="28"/>
          <w:u w:val="single"/>
        </w:rPr>
        <w:t>济南黄河爆破工程有限责任公司</w:t>
      </w:r>
      <w:r>
        <w:rPr>
          <w:rFonts w:hint="eastAsia" w:ascii="宋体" w:hAnsi="宋体"/>
          <w:color w:val="000000"/>
          <w:sz w:val="28"/>
          <w:szCs w:val="28"/>
        </w:rPr>
        <w:t>（</w:t>
      </w:r>
      <w:r>
        <w:rPr>
          <w:rFonts w:hint="eastAsia"/>
          <w:color w:val="000000"/>
          <w:sz w:val="28"/>
        </w:rPr>
        <w:t>简称发包方）</w:t>
      </w:r>
    </w:p>
    <w:p w14:paraId="686CBB4D">
      <w:pPr>
        <w:spacing w:line="360" w:lineRule="auto"/>
        <w:rPr>
          <w:rFonts w:hint="eastAsia"/>
          <w:color w:val="000000"/>
          <w:sz w:val="28"/>
        </w:rPr>
      </w:pPr>
      <w:r>
        <w:rPr>
          <w:rFonts w:hint="eastAsia"/>
          <w:color w:val="000000"/>
          <w:sz w:val="28"/>
        </w:rPr>
        <w:t>承包方：</w:t>
      </w:r>
      <w:r>
        <w:rPr>
          <w:rFonts w:hint="eastAsia"/>
          <w:color w:val="000000"/>
          <w:sz w:val="28"/>
          <w:u w:val="single"/>
        </w:rPr>
        <w:t xml:space="preserve">                            </w:t>
      </w:r>
      <w:r>
        <w:rPr>
          <w:rFonts w:hint="eastAsia"/>
          <w:color w:val="000000"/>
          <w:sz w:val="28"/>
        </w:rPr>
        <w:t>（简称承包方）</w:t>
      </w:r>
    </w:p>
    <w:p w14:paraId="540AFE51">
      <w:pPr>
        <w:ind w:firstLine="560" w:firstLineChars="200"/>
        <w:jc w:val="left"/>
        <w:rPr>
          <w:rFonts w:hint="eastAsia" w:ascii="宋体" w:hAnsi="宋体"/>
          <w:color w:val="000000"/>
          <w:sz w:val="28"/>
          <w:szCs w:val="28"/>
        </w:rPr>
      </w:pPr>
      <w:r>
        <w:rPr>
          <w:rFonts w:hint="eastAsia" w:ascii="宋体" w:hAnsi="宋体"/>
          <w:color w:val="000000"/>
          <w:sz w:val="28"/>
          <w:szCs w:val="28"/>
        </w:rPr>
        <w:t>依照《中华人民共和国民法典》及其它有关法律、行政法规，遵循平等、自愿、公平和诚实信用的原则，双方就本建设工程施工事项协商一致，订立本合同。</w:t>
      </w:r>
    </w:p>
    <w:p w14:paraId="133860F7">
      <w:pPr>
        <w:jc w:val="left"/>
        <w:rPr>
          <w:rFonts w:hint="eastAsia" w:ascii="宋体" w:hAnsi="宋体"/>
          <w:b/>
          <w:bCs/>
          <w:color w:val="000000"/>
          <w:sz w:val="28"/>
          <w:szCs w:val="28"/>
        </w:rPr>
      </w:pPr>
      <w:r>
        <w:rPr>
          <w:rFonts w:hint="eastAsia" w:ascii="宋体" w:hAnsi="宋体"/>
          <w:b/>
          <w:bCs/>
          <w:color w:val="000000"/>
          <w:sz w:val="28"/>
          <w:szCs w:val="28"/>
        </w:rPr>
        <w:t>一、工程概况</w:t>
      </w:r>
    </w:p>
    <w:p w14:paraId="6C0B4A1E">
      <w:pPr>
        <w:ind w:firstLine="560" w:firstLineChars="200"/>
        <w:jc w:val="left"/>
        <w:rPr>
          <w:rFonts w:hint="eastAsia" w:ascii="宋体" w:hAnsi="宋体"/>
          <w:color w:val="000000"/>
          <w:sz w:val="28"/>
          <w:szCs w:val="28"/>
          <w:u w:val="single"/>
        </w:rPr>
      </w:pPr>
      <w:r>
        <w:rPr>
          <w:rFonts w:hint="eastAsia" w:ascii="宋体" w:hAnsi="宋体"/>
          <w:color w:val="000000"/>
          <w:sz w:val="28"/>
          <w:szCs w:val="28"/>
        </w:rPr>
        <w:t>工程名称：</w:t>
      </w:r>
      <w:r>
        <w:rPr>
          <w:rFonts w:hint="eastAsia" w:ascii="宋体" w:hAnsi="宋体"/>
          <w:color w:val="000000"/>
          <w:sz w:val="28"/>
          <w:szCs w:val="28"/>
          <w:u w:val="single"/>
        </w:rPr>
        <w:t>矿山连接道路破损维修施工项目</w:t>
      </w:r>
    </w:p>
    <w:p w14:paraId="1B5C6A4B">
      <w:pPr>
        <w:ind w:firstLine="560" w:firstLineChars="200"/>
        <w:jc w:val="left"/>
        <w:rPr>
          <w:rFonts w:hint="eastAsia" w:ascii="宋体" w:hAnsi="宋体"/>
          <w:color w:val="000000"/>
          <w:sz w:val="28"/>
          <w:szCs w:val="28"/>
          <w:u w:val="single"/>
        </w:rPr>
      </w:pPr>
      <w:r>
        <w:rPr>
          <w:rFonts w:hint="eastAsia" w:ascii="宋体" w:hAnsi="宋体"/>
          <w:color w:val="000000"/>
          <w:sz w:val="28"/>
          <w:szCs w:val="28"/>
        </w:rPr>
        <w:t>工程地点：</w:t>
      </w:r>
      <w:r>
        <w:rPr>
          <w:rFonts w:hint="eastAsia" w:ascii="宋体" w:hAnsi="宋体"/>
          <w:color w:val="000000"/>
          <w:sz w:val="28"/>
          <w:szCs w:val="28"/>
          <w:u w:val="single"/>
        </w:rPr>
        <w:t>济南市章丘区官庄街道办事处弓角湾村。</w:t>
      </w:r>
    </w:p>
    <w:p w14:paraId="3410249A">
      <w:pPr>
        <w:ind w:firstLine="560" w:firstLineChars="200"/>
        <w:jc w:val="left"/>
        <w:rPr>
          <w:rFonts w:hint="eastAsia" w:ascii="宋体" w:hAnsi="宋体"/>
          <w:color w:val="000000"/>
          <w:sz w:val="28"/>
          <w:szCs w:val="28"/>
          <w:u w:val="single"/>
        </w:rPr>
      </w:pPr>
      <w:r>
        <w:rPr>
          <w:rFonts w:hint="eastAsia" w:ascii="宋体" w:hAnsi="宋体"/>
          <w:color w:val="000000"/>
          <w:sz w:val="28"/>
          <w:szCs w:val="28"/>
        </w:rPr>
        <w:t>工程内容：</w:t>
      </w:r>
      <w:r>
        <w:rPr>
          <w:rFonts w:hint="eastAsia" w:ascii="宋体" w:hAnsi="宋体"/>
          <w:color w:val="000000"/>
          <w:sz w:val="28"/>
          <w:szCs w:val="28"/>
          <w:u w:val="single"/>
        </w:rPr>
        <w:t>道路铣刨、水稳层铺设、沥青混凝土摊铺等施工内容，具体内容详见工程量清单。</w:t>
      </w:r>
    </w:p>
    <w:p w14:paraId="26D2CF4F">
      <w:pPr>
        <w:ind w:firstLine="560" w:firstLineChars="200"/>
        <w:jc w:val="left"/>
        <w:rPr>
          <w:rFonts w:hint="eastAsia" w:ascii="宋体" w:hAnsi="宋体"/>
          <w:color w:val="000000"/>
          <w:sz w:val="28"/>
          <w:szCs w:val="28"/>
        </w:rPr>
      </w:pPr>
      <w:r>
        <w:rPr>
          <w:rFonts w:hint="eastAsia" w:ascii="宋体" w:hAnsi="宋体"/>
          <w:color w:val="000000"/>
          <w:sz w:val="28"/>
          <w:szCs w:val="28"/>
        </w:rPr>
        <w:t>资金来源：自筹</w:t>
      </w:r>
    </w:p>
    <w:p w14:paraId="14873D2C">
      <w:pPr>
        <w:jc w:val="left"/>
        <w:rPr>
          <w:rFonts w:hint="eastAsia" w:ascii="宋体" w:hAnsi="宋体"/>
          <w:b/>
          <w:bCs/>
          <w:color w:val="000000"/>
          <w:sz w:val="28"/>
          <w:szCs w:val="28"/>
        </w:rPr>
      </w:pPr>
      <w:r>
        <w:rPr>
          <w:rFonts w:hint="eastAsia" w:ascii="宋体" w:hAnsi="宋体"/>
          <w:b/>
          <w:bCs/>
          <w:color w:val="000000"/>
          <w:sz w:val="28"/>
          <w:szCs w:val="28"/>
        </w:rPr>
        <w:t>二、工程承包范围</w:t>
      </w:r>
    </w:p>
    <w:p w14:paraId="41B64A49">
      <w:pPr>
        <w:ind w:firstLine="560" w:firstLineChars="200"/>
        <w:jc w:val="left"/>
        <w:rPr>
          <w:rFonts w:hint="eastAsia" w:ascii="宋体" w:hAnsi="宋体"/>
          <w:color w:val="000000"/>
          <w:sz w:val="28"/>
          <w:szCs w:val="28"/>
        </w:rPr>
      </w:pPr>
      <w:r>
        <w:rPr>
          <w:rFonts w:hint="eastAsia" w:ascii="宋体" w:hAnsi="宋体"/>
          <w:color w:val="000000"/>
          <w:sz w:val="28"/>
          <w:szCs w:val="28"/>
        </w:rPr>
        <w:t>承包范围：本项目施工图纸范围内及清单工程量的所有内容。</w:t>
      </w:r>
    </w:p>
    <w:p w14:paraId="55F5F848">
      <w:pPr>
        <w:jc w:val="left"/>
        <w:rPr>
          <w:rFonts w:hint="eastAsia" w:ascii="宋体" w:hAnsi="宋体"/>
          <w:b/>
          <w:bCs/>
          <w:color w:val="000000"/>
          <w:sz w:val="28"/>
          <w:szCs w:val="28"/>
          <w:highlight w:val="yellow"/>
        </w:rPr>
      </w:pPr>
      <w:r>
        <w:rPr>
          <w:rFonts w:hint="eastAsia" w:ascii="宋体" w:hAnsi="宋体"/>
          <w:b/>
          <w:bCs/>
          <w:color w:val="000000"/>
          <w:sz w:val="28"/>
          <w:szCs w:val="28"/>
        </w:rPr>
        <w:t>三、</w:t>
      </w:r>
      <w:r>
        <w:rPr>
          <w:rFonts w:hint="eastAsia" w:ascii="宋体" w:hAnsi="宋体"/>
          <w:b/>
          <w:bCs/>
          <w:color w:val="000000"/>
          <w:sz w:val="28"/>
          <w:szCs w:val="28"/>
          <w:highlight w:val="none"/>
        </w:rPr>
        <w:t>合同工期</w:t>
      </w:r>
    </w:p>
    <w:p w14:paraId="058C88C3">
      <w:pPr>
        <w:ind w:firstLine="560" w:firstLineChars="200"/>
        <w:jc w:val="left"/>
        <w:rPr>
          <w:rFonts w:hint="eastAsia" w:ascii="宋体" w:hAnsi="宋体"/>
          <w:color w:val="000000"/>
          <w:sz w:val="28"/>
          <w:szCs w:val="28"/>
        </w:rPr>
      </w:pPr>
      <w:r>
        <w:rPr>
          <w:rFonts w:ascii="宋体" w:hAnsi="宋体"/>
          <w:color w:val="000000"/>
          <w:sz w:val="28"/>
          <w:szCs w:val="28"/>
        </w:rPr>
        <w:t>第一阶段（基层施工）：</w:t>
      </w:r>
      <w:r>
        <w:rPr>
          <w:rFonts w:hint="eastAsia" w:ascii="宋体" w:hAnsi="宋体"/>
          <w:color w:val="000000"/>
          <w:sz w:val="28"/>
          <w:szCs w:val="28"/>
          <w:u w:val="single"/>
          <w:lang w:val="en-US" w:eastAsia="zh-CN"/>
        </w:rPr>
        <w:t xml:space="preserve">   </w:t>
      </w:r>
      <w:r>
        <w:rPr>
          <w:rFonts w:ascii="宋体" w:hAnsi="宋体"/>
          <w:color w:val="000000"/>
          <w:sz w:val="28"/>
          <w:szCs w:val="28"/>
        </w:rPr>
        <w:t>年</w:t>
      </w:r>
      <w:r>
        <w:rPr>
          <w:rFonts w:hint="eastAsia" w:ascii="宋体" w:hAnsi="宋体"/>
          <w:color w:val="000000"/>
          <w:sz w:val="28"/>
          <w:szCs w:val="28"/>
          <w:u w:val="single"/>
          <w:lang w:val="en-US" w:eastAsia="zh-CN"/>
        </w:rPr>
        <w:t xml:space="preserve">  </w:t>
      </w:r>
      <w:r>
        <w:rPr>
          <w:rFonts w:ascii="宋体" w:hAnsi="宋体"/>
          <w:color w:val="000000"/>
          <w:sz w:val="28"/>
          <w:szCs w:val="28"/>
        </w:rPr>
        <w:t>月</w:t>
      </w:r>
      <w:r>
        <w:rPr>
          <w:rFonts w:hint="eastAsia" w:ascii="宋体" w:hAnsi="宋体"/>
          <w:color w:val="000000"/>
          <w:sz w:val="28"/>
          <w:szCs w:val="28"/>
          <w:u w:val="single"/>
          <w:lang w:val="en-US" w:eastAsia="zh-CN"/>
        </w:rPr>
        <w:t xml:space="preserve">  </w:t>
      </w:r>
      <w:r>
        <w:rPr>
          <w:rFonts w:ascii="宋体" w:hAnsi="宋体"/>
          <w:color w:val="000000"/>
          <w:sz w:val="28"/>
          <w:szCs w:val="28"/>
        </w:rPr>
        <w:t>日</w:t>
      </w:r>
      <w:r>
        <w:rPr>
          <w:rFonts w:hint="eastAsia" w:ascii="宋体" w:hAnsi="宋体"/>
          <w:color w:val="000000"/>
          <w:sz w:val="28"/>
          <w:szCs w:val="28"/>
          <w:u w:val="single"/>
          <w:lang w:val="en-US" w:eastAsia="zh-CN"/>
        </w:rPr>
        <w:t xml:space="preserve">   </w:t>
      </w:r>
      <w:r>
        <w:rPr>
          <w:rFonts w:ascii="宋体" w:hAnsi="宋体"/>
          <w:color w:val="000000"/>
          <w:sz w:val="28"/>
          <w:szCs w:val="28"/>
        </w:rPr>
        <w:t>至</w:t>
      </w:r>
      <w:r>
        <w:rPr>
          <w:rFonts w:hint="eastAsia" w:ascii="宋体" w:hAnsi="宋体"/>
          <w:color w:val="000000"/>
          <w:sz w:val="28"/>
          <w:szCs w:val="28"/>
          <w:u w:val="single"/>
          <w:lang w:val="en-US" w:eastAsia="zh-CN"/>
        </w:rPr>
        <w:t xml:space="preserve">  </w:t>
      </w:r>
      <w:r>
        <w:rPr>
          <w:rFonts w:ascii="宋体" w:hAnsi="宋体"/>
          <w:color w:val="000000"/>
          <w:sz w:val="28"/>
          <w:szCs w:val="28"/>
        </w:rPr>
        <w:t>月</w:t>
      </w:r>
      <w:r>
        <w:rPr>
          <w:rFonts w:hint="eastAsia" w:ascii="宋体" w:hAnsi="宋体"/>
          <w:color w:val="000000"/>
          <w:sz w:val="28"/>
          <w:szCs w:val="28"/>
          <w:u w:val="single"/>
          <w:lang w:val="en-US" w:eastAsia="zh-CN"/>
        </w:rPr>
        <w:t xml:space="preserve">   </w:t>
      </w:r>
      <w:r>
        <w:rPr>
          <w:rFonts w:ascii="宋体" w:hAnsi="宋体"/>
          <w:color w:val="000000"/>
          <w:sz w:val="28"/>
          <w:szCs w:val="28"/>
        </w:rPr>
        <w:t>日（共</w:t>
      </w:r>
      <w:r>
        <w:rPr>
          <w:rFonts w:hint="eastAsia" w:ascii="宋体" w:hAnsi="宋体"/>
          <w:color w:val="000000"/>
          <w:sz w:val="28"/>
          <w:szCs w:val="28"/>
          <w:u w:val="single"/>
          <w:lang w:val="en-US" w:eastAsia="zh-CN"/>
        </w:rPr>
        <w:t xml:space="preserve">  </w:t>
      </w:r>
      <w:r>
        <w:rPr>
          <w:rFonts w:ascii="宋体" w:hAnsi="宋体"/>
          <w:color w:val="000000"/>
          <w:sz w:val="28"/>
          <w:szCs w:val="28"/>
        </w:rPr>
        <w:t>天），必须完成全部道路的水稳碎石基层的铺设与养护前工作。</w:t>
      </w:r>
    </w:p>
    <w:p w14:paraId="25705000">
      <w:pPr>
        <w:ind w:left="839" w:leftChars="266" w:hanging="280" w:hangingChars="100"/>
        <w:jc w:val="left"/>
        <w:rPr>
          <w:rFonts w:hint="eastAsia" w:ascii="宋体" w:hAnsi="宋体"/>
          <w:color w:val="000000"/>
          <w:sz w:val="28"/>
          <w:szCs w:val="28"/>
        </w:rPr>
      </w:pPr>
      <w:r>
        <w:rPr>
          <w:rFonts w:ascii="宋体" w:hAnsi="宋体"/>
          <w:color w:val="000000"/>
          <w:sz w:val="28"/>
          <w:szCs w:val="28"/>
        </w:rPr>
        <w:t>第二阶段（面层及附属施工）：</w:t>
      </w:r>
      <w:r>
        <w:rPr>
          <w:rFonts w:hint="eastAsia" w:ascii="宋体" w:hAnsi="宋体"/>
          <w:color w:val="000000"/>
          <w:sz w:val="28"/>
          <w:szCs w:val="28"/>
          <w:u w:val="single"/>
          <w:lang w:val="en-US" w:eastAsia="zh-CN"/>
        </w:rPr>
        <w:t xml:space="preserve">    </w:t>
      </w:r>
      <w:r>
        <w:rPr>
          <w:rFonts w:ascii="宋体" w:hAnsi="宋体"/>
          <w:color w:val="000000"/>
          <w:sz w:val="28"/>
          <w:szCs w:val="28"/>
        </w:rPr>
        <w:t>年</w:t>
      </w:r>
      <w:r>
        <w:rPr>
          <w:rFonts w:hint="eastAsia" w:ascii="宋体" w:hAnsi="宋体"/>
          <w:color w:val="000000"/>
          <w:sz w:val="28"/>
          <w:szCs w:val="28"/>
          <w:u w:val="single"/>
          <w:lang w:val="en-US" w:eastAsia="zh-CN"/>
        </w:rPr>
        <w:t xml:space="preserve">  </w:t>
      </w:r>
      <w:r>
        <w:rPr>
          <w:rFonts w:ascii="宋体" w:hAnsi="宋体"/>
          <w:color w:val="000000"/>
          <w:sz w:val="28"/>
          <w:szCs w:val="28"/>
        </w:rPr>
        <w:t>月</w:t>
      </w:r>
      <w:r>
        <w:rPr>
          <w:rFonts w:hint="eastAsia" w:ascii="宋体" w:hAnsi="宋体"/>
          <w:color w:val="000000"/>
          <w:sz w:val="28"/>
          <w:szCs w:val="28"/>
          <w:u w:val="single"/>
          <w:lang w:val="en-US" w:eastAsia="zh-CN"/>
        </w:rPr>
        <w:t xml:space="preserve">   </w:t>
      </w:r>
      <w:r>
        <w:rPr>
          <w:rFonts w:ascii="宋体" w:hAnsi="宋体"/>
          <w:color w:val="000000"/>
          <w:sz w:val="28"/>
          <w:szCs w:val="28"/>
        </w:rPr>
        <w:t>日至</w:t>
      </w:r>
      <w:r>
        <w:rPr>
          <w:rFonts w:hint="eastAsia" w:ascii="宋体" w:hAnsi="宋体"/>
          <w:color w:val="000000"/>
          <w:sz w:val="28"/>
          <w:szCs w:val="28"/>
          <w:u w:val="single"/>
          <w:lang w:val="en-US" w:eastAsia="zh-CN"/>
        </w:rPr>
        <w:t xml:space="preserve">   </w:t>
      </w:r>
      <w:r>
        <w:rPr>
          <w:rFonts w:ascii="宋体" w:hAnsi="宋体"/>
          <w:color w:val="000000"/>
          <w:sz w:val="28"/>
          <w:szCs w:val="28"/>
        </w:rPr>
        <w:t>月</w:t>
      </w:r>
      <w:r>
        <w:rPr>
          <w:rFonts w:hint="eastAsia" w:ascii="宋体" w:hAnsi="宋体"/>
          <w:color w:val="000000"/>
          <w:sz w:val="28"/>
          <w:szCs w:val="28"/>
          <w:u w:val="single"/>
          <w:lang w:val="en-US" w:eastAsia="zh-CN"/>
        </w:rPr>
        <w:t xml:space="preserve">   </w:t>
      </w:r>
      <w:r>
        <w:rPr>
          <w:rFonts w:ascii="宋体" w:hAnsi="宋体"/>
          <w:color w:val="000000"/>
          <w:sz w:val="28"/>
          <w:szCs w:val="28"/>
        </w:rPr>
        <w:t>日（</w:t>
      </w:r>
      <w:r>
        <w:rPr>
          <w:rFonts w:hint="eastAsia" w:ascii="宋体" w:hAnsi="宋体"/>
          <w:color w:val="000000"/>
          <w:sz w:val="28"/>
          <w:szCs w:val="28"/>
          <w:lang w:val="en-US" w:eastAsia="zh-CN"/>
        </w:rPr>
        <w:t>共</w:t>
      </w:r>
      <w:r>
        <w:rPr>
          <w:rFonts w:hint="eastAsia" w:ascii="宋体" w:hAnsi="宋体"/>
          <w:color w:val="000000"/>
          <w:sz w:val="28"/>
          <w:szCs w:val="28"/>
          <w:u w:val="single"/>
          <w:lang w:val="en-US" w:eastAsia="zh-CN"/>
        </w:rPr>
        <w:t xml:space="preserve">  </w:t>
      </w:r>
      <w:r>
        <w:rPr>
          <w:rFonts w:ascii="宋体" w:hAnsi="宋体"/>
          <w:color w:val="000000"/>
          <w:sz w:val="28"/>
          <w:szCs w:val="28"/>
        </w:rPr>
        <w:t>天），必须完成所有路沿石安装及沥青混凝土面层的摊铺、压实工作。</w:t>
      </w:r>
    </w:p>
    <w:p w14:paraId="76B78D4F">
      <w:pPr>
        <w:ind w:firstLine="560" w:firstLineChars="200"/>
        <w:jc w:val="left"/>
        <w:rPr>
          <w:rFonts w:hint="eastAsia" w:ascii="宋体" w:hAnsi="宋体"/>
          <w:color w:val="000000"/>
          <w:sz w:val="28"/>
          <w:szCs w:val="28"/>
        </w:rPr>
      </w:pPr>
      <w:r>
        <w:rPr>
          <w:rFonts w:ascii="宋体" w:hAnsi="宋体"/>
          <w:color w:val="000000"/>
          <w:sz w:val="28"/>
          <w:szCs w:val="28"/>
        </w:rPr>
        <w:t>总有效施工工期为</w:t>
      </w:r>
      <w:r>
        <w:rPr>
          <w:rFonts w:hint="eastAsia" w:ascii="宋体" w:hAnsi="宋体"/>
          <w:color w:val="000000"/>
          <w:sz w:val="28"/>
          <w:szCs w:val="28"/>
          <w:u w:val="single"/>
          <w:lang w:val="en-US" w:eastAsia="zh-CN"/>
        </w:rPr>
        <w:t xml:space="preserve">  </w:t>
      </w:r>
      <w:r>
        <w:rPr>
          <w:rFonts w:ascii="宋体" w:hAnsi="宋体"/>
          <w:color w:val="000000"/>
          <w:sz w:val="28"/>
          <w:szCs w:val="28"/>
        </w:rPr>
        <w:t>个日历日（具体日期见上）。中间间隔期为水稳层必要的养护期及春节假期，承包人应做好施工组织，</w:t>
      </w:r>
      <w:r>
        <w:rPr>
          <w:rFonts w:ascii="宋体" w:hAnsi="宋体"/>
          <w:color w:val="000000"/>
          <w:sz w:val="28"/>
          <w:szCs w:val="28"/>
          <w:highlight w:val="none"/>
        </w:rPr>
        <w:t>确保在</w:t>
      </w:r>
      <w:r>
        <w:rPr>
          <w:rFonts w:hint="eastAsia" w:ascii="宋体" w:hAnsi="宋体"/>
          <w:color w:val="000000"/>
          <w:sz w:val="28"/>
          <w:szCs w:val="28"/>
          <w:highlight w:val="none"/>
          <w:u w:val="single"/>
          <w:lang w:val="en-US" w:eastAsia="zh-CN"/>
        </w:rPr>
        <w:t xml:space="preserve">      </w:t>
      </w:r>
      <w:r>
        <w:rPr>
          <w:rFonts w:ascii="宋体" w:hAnsi="宋体"/>
          <w:color w:val="000000"/>
          <w:sz w:val="28"/>
          <w:szCs w:val="28"/>
          <w:highlight w:val="none"/>
        </w:rPr>
        <w:t>年</w:t>
      </w:r>
      <w:r>
        <w:rPr>
          <w:rFonts w:hint="eastAsia" w:ascii="宋体" w:hAnsi="宋体"/>
          <w:color w:val="000000"/>
          <w:sz w:val="28"/>
          <w:szCs w:val="28"/>
          <w:highlight w:val="none"/>
          <w:u w:val="single"/>
          <w:lang w:val="en-US" w:eastAsia="zh-CN"/>
        </w:rPr>
        <w:t xml:space="preserve">    </w:t>
      </w:r>
      <w:r>
        <w:rPr>
          <w:rFonts w:ascii="宋体" w:hAnsi="宋体"/>
          <w:color w:val="000000"/>
          <w:sz w:val="28"/>
          <w:szCs w:val="28"/>
          <w:highlight w:val="none"/>
        </w:rPr>
        <w:t>月</w:t>
      </w:r>
      <w:r>
        <w:rPr>
          <w:rFonts w:hint="eastAsia" w:ascii="宋体" w:hAnsi="宋体"/>
          <w:color w:val="000000"/>
          <w:sz w:val="28"/>
          <w:szCs w:val="28"/>
          <w:highlight w:val="none"/>
          <w:u w:val="single"/>
          <w:lang w:val="en-US" w:eastAsia="zh-CN"/>
        </w:rPr>
        <w:t xml:space="preserve">   </w:t>
      </w:r>
      <w:r>
        <w:rPr>
          <w:rFonts w:ascii="宋体" w:hAnsi="宋体"/>
          <w:color w:val="000000"/>
          <w:sz w:val="28"/>
          <w:szCs w:val="28"/>
          <w:highlight w:val="none"/>
        </w:rPr>
        <w:t>日前全面完工并</w:t>
      </w:r>
      <w:r>
        <w:rPr>
          <w:rFonts w:hint="eastAsia" w:ascii="宋体" w:hAnsi="宋体"/>
          <w:color w:val="000000"/>
          <w:sz w:val="28"/>
          <w:szCs w:val="28"/>
          <w:highlight w:val="none"/>
        </w:rPr>
        <w:t>通车试行</w:t>
      </w:r>
      <w:r>
        <w:rPr>
          <w:rFonts w:ascii="宋体" w:hAnsi="宋体"/>
          <w:color w:val="000000"/>
          <w:sz w:val="28"/>
          <w:szCs w:val="28"/>
          <w:highlight w:val="none"/>
        </w:rPr>
        <w:t>。</w:t>
      </w:r>
      <w:r>
        <w:rPr>
          <w:rFonts w:hint="eastAsia" w:ascii="宋体" w:hAnsi="宋体"/>
          <w:color w:val="000000"/>
          <w:sz w:val="28"/>
          <w:szCs w:val="28"/>
          <w:lang w:eastAsia="zh-CN"/>
        </w:rPr>
        <w:t>（不可抗力</w:t>
      </w:r>
      <w:r>
        <w:rPr>
          <w:rFonts w:hint="eastAsia" w:ascii="宋体" w:hAnsi="宋体"/>
          <w:color w:val="000000"/>
          <w:sz w:val="28"/>
          <w:szCs w:val="28"/>
          <w:lang w:val="en-US" w:eastAsia="zh-CN"/>
        </w:rPr>
        <w:t>导致的工期顺延。</w:t>
      </w:r>
      <w:r>
        <w:rPr>
          <w:rFonts w:hint="eastAsia" w:ascii="宋体" w:hAnsi="宋体"/>
          <w:color w:val="000000"/>
          <w:sz w:val="28"/>
          <w:szCs w:val="28"/>
          <w:lang w:eastAsia="zh-CN"/>
        </w:rPr>
        <w:t>）</w:t>
      </w:r>
    </w:p>
    <w:p w14:paraId="6F2A9D14">
      <w:pPr>
        <w:jc w:val="left"/>
        <w:rPr>
          <w:rFonts w:hint="eastAsia" w:ascii="宋体" w:hAnsi="宋体"/>
          <w:b/>
          <w:bCs/>
          <w:color w:val="000000"/>
          <w:sz w:val="28"/>
          <w:szCs w:val="28"/>
        </w:rPr>
      </w:pPr>
      <w:r>
        <w:rPr>
          <w:rFonts w:hint="eastAsia" w:ascii="宋体" w:hAnsi="宋体"/>
          <w:b/>
          <w:bCs/>
          <w:color w:val="000000"/>
          <w:sz w:val="28"/>
          <w:szCs w:val="28"/>
        </w:rPr>
        <w:t>四、质量标准</w:t>
      </w:r>
    </w:p>
    <w:p w14:paraId="00BB37C3">
      <w:pPr>
        <w:ind w:firstLine="560" w:firstLineChars="200"/>
        <w:jc w:val="left"/>
        <w:rPr>
          <w:rFonts w:hint="eastAsia" w:ascii="宋体" w:hAnsi="宋体"/>
          <w:color w:val="000000"/>
          <w:sz w:val="28"/>
          <w:szCs w:val="28"/>
        </w:rPr>
      </w:pPr>
      <w:r>
        <w:rPr>
          <w:rFonts w:hint="eastAsia" w:ascii="宋体" w:hAnsi="宋体"/>
          <w:color w:val="000000"/>
          <w:sz w:val="28"/>
          <w:szCs w:val="28"/>
        </w:rPr>
        <w:t>工程质量标准：达到合格标准，符合现行国家有关工程施工验收规范和标准要求。</w:t>
      </w:r>
    </w:p>
    <w:p w14:paraId="7D5EBC56">
      <w:pPr>
        <w:jc w:val="left"/>
        <w:rPr>
          <w:rFonts w:hint="eastAsia" w:ascii="宋体" w:hAnsi="宋体"/>
          <w:b/>
          <w:bCs/>
          <w:color w:val="000000"/>
          <w:sz w:val="28"/>
          <w:szCs w:val="28"/>
        </w:rPr>
      </w:pPr>
      <w:r>
        <w:rPr>
          <w:rFonts w:hint="eastAsia" w:ascii="宋体" w:hAnsi="宋体"/>
          <w:b/>
          <w:bCs/>
          <w:color w:val="000000"/>
          <w:sz w:val="28"/>
          <w:szCs w:val="28"/>
        </w:rPr>
        <w:t>五、合同形式</w:t>
      </w:r>
    </w:p>
    <w:p w14:paraId="7FB5123C">
      <w:pPr>
        <w:ind w:firstLine="560" w:firstLineChars="200"/>
        <w:jc w:val="left"/>
        <w:rPr>
          <w:rFonts w:hint="eastAsia" w:ascii="宋体" w:hAnsi="宋体"/>
          <w:color w:val="000000"/>
          <w:sz w:val="28"/>
          <w:szCs w:val="28"/>
        </w:rPr>
      </w:pPr>
      <w:r>
        <w:rPr>
          <w:rFonts w:hint="eastAsia" w:ascii="宋体" w:hAnsi="宋体"/>
          <w:color w:val="000000"/>
          <w:sz w:val="28"/>
          <w:szCs w:val="28"/>
        </w:rPr>
        <w:t>本合同采用全费用综合单价包干、总价封顶合同形式。</w:t>
      </w:r>
    </w:p>
    <w:p w14:paraId="758063E0">
      <w:pPr>
        <w:spacing w:line="480" w:lineRule="auto"/>
        <w:jc w:val="left"/>
        <w:rPr>
          <w:rFonts w:hint="eastAsia"/>
          <w:b/>
          <w:color w:val="000000"/>
          <w:sz w:val="28"/>
        </w:rPr>
      </w:pPr>
      <w:r>
        <w:rPr>
          <w:rFonts w:hint="eastAsia"/>
          <w:b/>
          <w:color w:val="000000"/>
          <w:sz w:val="28"/>
        </w:rPr>
        <w:t>六、承包方式：</w:t>
      </w:r>
    </w:p>
    <w:p w14:paraId="59847D7D">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本项目按承包方包工包料方式进行承包施工。</w:t>
      </w:r>
    </w:p>
    <w:p w14:paraId="4ACEFAA7">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1、本工程项目所使用的施工材料及采购设备全部由承包方负责采购并承担相应费用（发包方提供的材料除外）。</w:t>
      </w:r>
    </w:p>
    <w:p w14:paraId="0172B522">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2、承包方供应的材料、设备和配件，都必须符合设计要求和国家规定的技术标准。不合格的材料承包方不能用于施工。材料进场后，通知发包方使用单位进行验收，承包方同时提供施工材料相应的合格证、说明书。</w:t>
      </w:r>
    </w:p>
    <w:p w14:paraId="289B9260">
      <w:pPr>
        <w:spacing w:line="480" w:lineRule="auto"/>
        <w:jc w:val="left"/>
        <w:rPr>
          <w:rFonts w:hint="eastAsia"/>
          <w:b/>
          <w:color w:val="000000"/>
          <w:sz w:val="28"/>
        </w:rPr>
      </w:pPr>
      <w:r>
        <w:rPr>
          <w:rFonts w:hint="eastAsia"/>
          <w:b/>
          <w:color w:val="000000"/>
          <w:sz w:val="28"/>
        </w:rPr>
        <w:t>七、项目变更：</w:t>
      </w:r>
    </w:p>
    <w:p w14:paraId="734B291E">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本工程施工方案确定后，原则上不准变更。</w:t>
      </w:r>
    </w:p>
    <w:p w14:paraId="25754ABD">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施工过程中，承包方如发现现场情况与施工方案不符达不到要求的，不得私自变更，应书面通知发包方，经发包方确认后办理变更手续，再具体实施。承包方未经发包方同意私自变更并施工的，发包方不予结算。</w:t>
      </w:r>
    </w:p>
    <w:p w14:paraId="1FC10702">
      <w:pPr>
        <w:spacing w:line="480" w:lineRule="auto"/>
        <w:ind w:firstLine="140" w:firstLineChars="50"/>
        <w:jc w:val="left"/>
        <w:rPr>
          <w:rFonts w:hint="eastAsia"/>
          <w:b/>
          <w:color w:val="000000"/>
          <w:sz w:val="28"/>
        </w:rPr>
      </w:pPr>
      <w:r>
        <w:rPr>
          <w:rFonts w:hint="eastAsia"/>
          <w:b/>
          <w:color w:val="000000"/>
          <w:sz w:val="28"/>
        </w:rPr>
        <w:t>八、合同价款：</w:t>
      </w:r>
    </w:p>
    <w:p w14:paraId="4B36A31B">
      <w:pPr>
        <w:ind w:firstLine="572" w:firstLineChars="200"/>
        <w:jc w:val="left"/>
        <w:rPr>
          <w:rFonts w:hint="eastAsia" w:ascii="宋体" w:hAnsi="宋体"/>
          <w:spacing w:val="3"/>
          <w:sz w:val="28"/>
          <w:szCs w:val="28"/>
        </w:rPr>
      </w:pPr>
      <w:r>
        <w:rPr>
          <w:rFonts w:hint="eastAsia" w:ascii="宋体" w:hAnsi="宋体"/>
          <w:spacing w:val="3"/>
          <w:sz w:val="28"/>
          <w:szCs w:val="28"/>
        </w:rPr>
        <w:t>本施工项目合同价款采用总价封顶，暂定合同额为</w:t>
      </w:r>
      <w:r>
        <w:rPr>
          <w:rFonts w:hint="eastAsia" w:ascii="宋体" w:hAnsi="宋体"/>
          <w:spacing w:val="3"/>
          <w:sz w:val="28"/>
          <w:szCs w:val="28"/>
          <w:u w:val="single"/>
        </w:rPr>
        <w:t xml:space="preserve">:     </w:t>
      </w:r>
      <w:r>
        <w:rPr>
          <w:rFonts w:hint="eastAsia" w:ascii="宋体" w:hAnsi="宋体"/>
          <w:spacing w:val="3"/>
          <w:sz w:val="28"/>
          <w:szCs w:val="28"/>
        </w:rPr>
        <w:t>万元（大写：</w:t>
      </w:r>
      <w:r>
        <w:rPr>
          <w:rFonts w:hint="eastAsia" w:ascii="宋体" w:hAnsi="宋体"/>
          <w:spacing w:val="3"/>
          <w:sz w:val="28"/>
          <w:szCs w:val="28"/>
          <w:u w:val="single"/>
        </w:rPr>
        <w:t xml:space="preserve">      </w:t>
      </w:r>
      <w:r>
        <w:rPr>
          <w:rFonts w:hint="eastAsia" w:ascii="宋体" w:hAnsi="宋体"/>
          <w:spacing w:val="3"/>
          <w:sz w:val="28"/>
          <w:szCs w:val="28"/>
        </w:rPr>
        <w:t>）（含税9%）。</w:t>
      </w:r>
    </w:p>
    <w:p w14:paraId="0A1C1250">
      <w:pPr>
        <w:spacing w:line="480" w:lineRule="auto"/>
        <w:ind w:firstLine="140" w:firstLineChars="50"/>
        <w:jc w:val="left"/>
        <w:rPr>
          <w:rFonts w:hint="eastAsia"/>
          <w:b/>
          <w:color w:val="000000"/>
          <w:sz w:val="28"/>
        </w:rPr>
      </w:pPr>
      <w:r>
        <w:rPr>
          <w:rFonts w:hint="eastAsia"/>
          <w:b/>
          <w:color w:val="000000"/>
          <w:sz w:val="28"/>
        </w:rPr>
        <w:t>九、结算及付款方式：</w:t>
      </w:r>
    </w:p>
    <w:p w14:paraId="569225CF">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1、编制依据及组价标准：《GB50500-2013建设（安装）工程工程量清单计价规范》、《山东省建筑（安装）工程消耗量定额》《山东省建设工程费用组成及计算规则》及当期其他有关政府强制性文件要求（如遇相应标准更新，执行新标准，作为结算编制依据及组价标准）。</w:t>
      </w:r>
    </w:p>
    <w:p w14:paraId="2CEE026C">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2、结算依据</w:t>
      </w:r>
      <w:r>
        <w:rPr>
          <w:rFonts w:ascii="宋体" w:hAnsi="宋体"/>
          <w:spacing w:val="3"/>
          <w:sz w:val="28"/>
          <w:szCs w:val="28"/>
        </w:rPr>
        <w:t>：承包方施工完毕，须经发包方验收合格并出具《竣工验收报告》后，双方依据合同约定的单价、已确认的工程量和《竣工验收报告》办理竣工结算手续，共同确认最终的结算总价。</w:t>
      </w:r>
    </w:p>
    <w:p w14:paraId="311A59E6">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3、</w:t>
      </w:r>
      <w:r>
        <w:rPr>
          <w:rFonts w:ascii="宋体" w:hAnsi="宋体"/>
          <w:spacing w:val="3"/>
          <w:sz w:val="28"/>
          <w:szCs w:val="28"/>
        </w:rPr>
        <w:t>付款流程：</w:t>
      </w:r>
    </w:p>
    <w:p w14:paraId="34900B8B">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ascii="宋体" w:hAnsi="宋体"/>
          <w:spacing w:val="3"/>
          <w:sz w:val="28"/>
          <w:szCs w:val="28"/>
        </w:rPr>
        <w:t>双方完成结算确认后，承包方须向发包方开具结算总价全额、税率为9%的增值税专用发票。</w:t>
      </w:r>
    </w:p>
    <w:p w14:paraId="2C5B348C">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ascii="宋体" w:hAnsi="宋体"/>
          <w:spacing w:val="3"/>
          <w:sz w:val="28"/>
          <w:szCs w:val="28"/>
        </w:rPr>
        <w:t>发包方于收到合法有效发票后</w:t>
      </w:r>
      <w:r>
        <w:rPr>
          <w:rFonts w:hint="eastAsia" w:ascii="宋体" w:hAnsi="宋体"/>
          <w:spacing w:val="3"/>
          <w:sz w:val="28"/>
          <w:szCs w:val="28"/>
        </w:rPr>
        <w:t>30</w:t>
      </w:r>
      <w:r>
        <w:rPr>
          <w:rFonts w:ascii="宋体" w:hAnsi="宋体"/>
          <w:spacing w:val="3"/>
          <w:sz w:val="28"/>
          <w:szCs w:val="28"/>
        </w:rPr>
        <w:t>日内，向承包方支付至双方确认的结算总价的</w:t>
      </w:r>
      <w:r>
        <w:rPr>
          <w:rFonts w:hint="eastAsia" w:ascii="宋体" w:hAnsi="宋体"/>
          <w:spacing w:val="3"/>
          <w:sz w:val="28"/>
          <w:szCs w:val="28"/>
          <w:lang w:val="en-US" w:eastAsia="zh-CN"/>
        </w:rPr>
        <w:t>97</w:t>
      </w:r>
      <w:r>
        <w:rPr>
          <w:rFonts w:ascii="宋体" w:hAnsi="宋体"/>
          <w:spacing w:val="3"/>
          <w:sz w:val="28"/>
          <w:szCs w:val="28"/>
        </w:rPr>
        <w:t>%</w:t>
      </w:r>
      <w:r>
        <w:rPr>
          <w:rFonts w:hint="eastAsia" w:ascii="宋体" w:hAnsi="宋体"/>
          <w:spacing w:val="3"/>
          <w:sz w:val="28"/>
          <w:szCs w:val="28"/>
        </w:rPr>
        <w:t>。</w:t>
      </w:r>
    </w:p>
    <w:p w14:paraId="2D7FC5FF">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4、</w:t>
      </w:r>
      <w:r>
        <w:rPr>
          <w:rFonts w:ascii="宋体" w:hAnsi="宋体"/>
          <w:spacing w:val="3"/>
          <w:sz w:val="28"/>
          <w:szCs w:val="28"/>
        </w:rPr>
        <w:t>质量保证金：</w:t>
      </w:r>
    </w:p>
    <w:p w14:paraId="73AA52D5">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ascii="宋体" w:hAnsi="宋体"/>
          <w:spacing w:val="3"/>
          <w:sz w:val="28"/>
          <w:szCs w:val="28"/>
        </w:rPr>
        <w:t>结算总价的</w:t>
      </w:r>
      <w:r>
        <w:rPr>
          <w:rFonts w:hint="eastAsia" w:ascii="宋体" w:hAnsi="宋体"/>
          <w:spacing w:val="3"/>
          <w:sz w:val="28"/>
          <w:szCs w:val="28"/>
          <w:lang w:val="en-US" w:eastAsia="zh-CN"/>
        </w:rPr>
        <w:t>3</w:t>
      </w:r>
      <w:r>
        <w:rPr>
          <w:rFonts w:ascii="宋体" w:hAnsi="宋体"/>
          <w:spacing w:val="3"/>
          <w:sz w:val="28"/>
          <w:szCs w:val="28"/>
        </w:rPr>
        <w:t>%作为工程质量保证金（质保金）。</w:t>
      </w:r>
    </w:p>
    <w:p w14:paraId="6486D4EF">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ascii="宋体" w:hAnsi="宋体"/>
          <w:spacing w:val="3"/>
          <w:sz w:val="28"/>
          <w:szCs w:val="28"/>
        </w:rPr>
        <w:t>本工程质量缺陷修复期为</w:t>
      </w:r>
      <w:r>
        <w:rPr>
          <w:rFonts w:hint="eastAsia" w:ascii="宋体" w:hAnsi="宋体"/>
          <w:spacing w:val="3"/>
          <w:sz w:val="28"/>
          <w:szCs w:val="28"/>
        </w:rPr>
        <w:t>24</w:t>
      </w:r>
      <w:r>
        <w:rPr>
          <w:rFonts w:ascii="宋体" w:hAnsi="宋体"/>
          <w:spacing w:val="3"/>
          <w:sz w:val="28"/>
          <w:szCs w:val="28"/>
        </w:rPr>
        <w:t>个月，自《竣工验收报告》签署之日起计算。</w:t>
      </w:r>
    </w:p>
    <w:p w14:paraId="67B9BF17">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color w:val="0000FF"/>
          <w:spacing w:val="3"/>
          <w:sz w:val="28"/>
          <w:szCs w:val="28"/>
          <w:highlight w:val="yellow"/>
        </w:rPr>
      </w:pPr>
      <w:r>
        <w:rPr>
          <w:rFonts w:ascii="宋体" w:hAnsi="宋体"/>
          <w:spacing w:val="3"/>
          <w:sz w:val="28"/>
          <w:szCs w:val="28"/>
        </w:rPr>
        <w:t>质保期内工程无质量问题，发包方在质保期满后30日内将剩余质保金无息返还给承包方。</w:t>
      </w:r>
    </w:p>
    <w:p w14:paraId="51FCE0E6">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5、支付方式：银行承兑汇票。</w:t>
      </w:r>
    </w:p>
    <w:p w14:paraId="7769CEC9">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highlight w:val="none"/>
        </w:rPr>
        <w:t>6、本工程履约保证金为</w:t>
      </w:r>
      <w:r>
        <w:rPr>
          <w:rFonts w:hint="eastAsia" w:ascii="宋体" w:hAnsi="宋体"/>
          <w:spacing w:val="3"/>
          <w:sz w:val="28"/>
          <w:szCs w:val="28"/>
          <w:highlight w:val="none"/>
          <w:lang w:val="en-US" w:eastAsia="zh-CN"/>
        </w:rPr>
        <w:t>6</w:t>
      </w:r>
      <w:r>
        <w:rPr>
          <w:rFonts w:hint="eastAsia" w:ascii="宋体" w:hAnsi="宋体"/>
          <w:spacing w:val="3"/>
          <w:sz w:val="28"/>
          <w:szCs w:val="28"/>
          <w:highlight w:val="none"/>
        </w:rPr>
        <w:t>万元整，起止时间自确定中标起至工程竣工验收合格之日止。由承包人以电汇转账</w:t>
      </w:r>
      <w:r>
        <w:rPr>
          <w:rFonts w:ascii="宋体" w:hAnsi="宋体"/>
          <w:spacing w:val="3"/>
          <w:sz w:val="28"/>
          <w:szCs w:val="28"/>
          <w:highlight w:val="none"/>
        </w:rPr>
        <w:t>形式</w:t>
      </w:r>
      <w:r>
        <w:rPr>
          <w:rFonts w:hint="eastAsia" w:ascii="宋体" w:hAnsi="宋体"/>
          <w:spacing w:val="3"/>
          <w:sz w:val="28"/>
          <w:szCs w:val="28"/>
          <w:highlight w:val="none"/>
          <w:lang w:val="en-US" w:eastAsia="zh-CN"/>
        </w:rPr>
        <w:t>或</w:t>
      </w:r>
      <w:r>
        <w:rPr>
          <w:rFonts w:hint="eastAsia" w:ascii="宋体" w:hAnsi="宋体"/>
          <w:spacing w:val="3"/>
          <w:sz w:val="28"/>
          <w:szCs w:val="28"/>
          <w:highlight w:val="none"/>
        </w:rPr>
        <w:t>银行汇票</w:t>
      </w:r>
      <w:r>
        <w:rPr>
          <w:rFonts w:hint="eastAsia" w:ascii="宋体" w:hAnsi="宋体"/>
          <w:spacing w:val="3"/>
          <w:sz w:val="28"/>
          <w:szCs w:val="28"/>
          <w:highlight w:val="none"/>
          <w:lang w:val="en-US" w:eastAsia="zh-CN"/>
        </w:rPr>
        <w:t>方式</w:t>
      </w:r>
      <w:r>
        <w:rPr>
          <w:rFonts w:ascii="宋体" w:hAnsi="宋体"/>
          <w:spacing w:val="3"/>
          <w:sz w:val="28"/>
          <w:szCs w:val="28"/>
          <w:highlight w:val="none"/>
        </w:rPr>
        <w:t>至发包人账</w:t>
      </w:r>
      <w:r>
        <w:rPr>
          <w:rFonts w:hint="eastAsia" w:ascii="宋体" w:hAnsi="宋体"/>
          <w:spacing w:val="3"/>
          <w:sz w:val="28"/>
          <w:szCs w:val="28"/>
          <w:highlight w:val="none"/>
        </w:rPr>
        <w:t>户，工程竣工验收合格后，履约保证金无息返还。</w:t>
      </w:r>
    </w:p>
    <w:p w14:paraId="6430A3CA">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收款账户：济南黄河爆破工程有限责任公司</w:t>
      </w:r>
    </w:p>
    <w:p w14:paraId="5D1758B5">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开户行：中国工商银行济南东郊支行</w:t>
      </w:r>
    </w:p>
    <w:p w14:paraId="6BC94539">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银行账户：1602003419201075070</w:t>
      </w:r>
    </w:p>
    <w:p w14:paraId="2CE8766D">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行号：102451000344</w:t>
      </w:r>
    </w:p>
    <w:p w14:paraId="54436101">
      <w:pPr>
        <w:numPr>
          <w:ilvl w:val="0"/>
          <w:numId w:val="4"/>
        </w:numPr>
        <w:spacing w:line="520" w:lineRule="exact"/>
        <w:ind w:firstLine="572" w:firstLineChars="200"/>
        <w:rPr>
          <w:rFonts w:hint="eastAsia" w:ascii="宋体" w:hAnsi="宋体"/>
          <w:spacing w:val="3"/>
          <w:sz w:val="28"/>
          <w:szCs w:val="28"/>
        </w:rPr>
      </w:pPr>
      <w:r>
        <w:rPr>
          <w:rFonts w:hint="eastAsia" w:ascii="宋体" w:hAnsi="宋体"/>
          <w:spacing w:val="3"/>
          <w:sz w:val="28"/>
          <w:szCs w:val="28"/>
        </w:rPr>
        <w:t>施工过程中发生的承包方使用发包方水电能源费，按如下原则结算：单独设置水电表的，按实际发生数额结算，其中水费：4.2元/立方，电费：1元/度；未安装水电表的，结算时按造价金额的7‰扣除。</w:t>
      </w:r>
    </w:p>
    <w:p w14:paraId="2926DD71">
      <w:pPr>
        <w:pStyle w:val="46"/>
        <w:numPr>
          <w:ilvl w:val="0"/>
          <w:numId w:val="4"/>
        </w:numPr>
        <w:spacing w:after="0"/>
        <w:ind w:left="0" w:leftChars="0" w:firstLine="572" w:firstLineChars="200"/>
        <w:rPr>
          <w:rFonts w:ascii="宋体" w:hAnsi="宋体" w:eastAsia="等线"/>
          <w:spacing w:val="3"/>
          <w:kern w:val="2"/>
          <w:sz w:val="28"/>
          <w:szCs w:val="28"/>
        </w:rPr>
      </w:pPr>
      <w:r>
        <w:rPr>
          <w:rFonts w:ascii="宋体" w:hAnsi="宋体" w:eastAsia="等线"/>
          <w:spacing w:val="3"/>
          <w:kern w:val="2"/>
          <w:sz w:val="28"/>
          <w:szCs w:val="28"/>
        </w:rPr>
        <w:t>合同签订前承包人以电汇转账形式向发包人缴纳合同暂定总造价</w:t>
      </w:r>
      <w:r>
        <w:rPr>
          <w:rFonts w:ascii="宋体" w:hAnsi="宋体" w:eastAsia="等线"/>
          <w:spacing w:val="3"/>
          <w:kern w:val="2"/>
          <w:sz w:val="28"/>
          <w:szCs w:val="28"/>
          <w:highlight w:val="none"/>
        </w:rPr>
        <w:t>的</w:t>
      </w:r>
      <w:r>
        <w:rPr>
          <w:rFonts w:hint="eastAsia" w:ascii="宋体" w:hAnsi="宋体" w:eastAsia="等线"/>
          <w:spacing w:val="3"/>
          <w:kern w:val="2"/>
          <w:sz w:val="28"/>
          <w:szCs w:val="28"/>
          <w:highlight w:val="none"/>
          <w:lang w:val="en-US" w:eastAsia="zh-CN"/>
        </w:rPr>
        <w:t>3</w:t>
      </w:r>
      <w:r>
        <w:rPr>
          <w:rFonts w:ascii="宋体" w:hAnsi="宋体" w:eastAsia="等线"/>
          <w:spacing w:val="3"/>
          <w:kern w:val="2"/>
          <w:sz w:val="28"/>
          <w:szCs w:val="28"/>
          <w:highlight w:val="none"/>
        </w:rPr>
        <w:t>%的施工安全风险</w:t>
      </w:r>
      <w:r>
        <w:rPr>
          <w:rFonts w:ascii="宋体" w:hAnsi="宋体" w:eastAsia="等线"/>
          <w:spacing w:val="3"/>
          <w:kern w:val="2"/>
          <w:sz w:val="28"/>
          <w:szCs w:val="28"/>
        </w:rPr>
        <w:t>抵押金，作为施工安全的考核资金。凡属违章作业、违章指挥等，考核执行发包人安全管理考核标准，从安全风险抵押金中扣罚。工程竣工验收合格后，剩余安全施工风险抵押金无息返还。</w:t>
      </w:r>
    </w:p>
    <w:p w14:paraId="3A8CB179">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收款账户：济南黄河爆破工程有限责任公司</w:t>
      </w:r>
    </w:p>
    <w:p w14:paraId="0D4C2785">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开户行：中国工商银行济南东郊支行</w:t>
      </w:r>
    </w:p>
    <w:p w14:paraId="78064F07">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spacing w:val="3"/>
          <w:sz w:val="28"/>
          <w:szCs w:val="28"/>
        </w:rPr>
      </w:pPr>
      <w:r>
        <w:rPr>
          <w:rFonts w:hint="eastAsia" w:ascii="宋体" w:hAnsi="宋体"/>
          <w:spacing w:val="3"/>
          <w:sz w:val="28"/>
          <w:szCs w:val="28"/>
        </w:rPr>
        <w:t>银行账户：1602003419201075070</w:t>
      </w:r>
    </w:p>
    <w:p w14:paraId="48DBE250">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eastAsia="等线"/>
          <w:spacing w:val="3"/>
          <w:kern w:val="2"/>
          <w:sz w:val="28"/>
          <w:szCs w:val="28"/>
        </w:rPr>
      </w:pPr>
      <w:r>
        <w:rPr>
          <w:rFonts w:hint="eastAsia" w:ascii="宋体" w:hAnsi="宋体"/>
          <w:spacing w:val="3"/>
          <w:sz w:val="28"/>
          <w:szCs w:val="28"/>
        </w:rPr>
        <w:t>行号：102451000344</w:t>
      </w:r>
    </w:p>
    <w:p w14:paraId="37ED3BA1">
      <w:pPr>
        <w:spacing w:line="480" w:lineRule="auto"/>
        <w:ind w:firstLine="140" w:firstLineChars="50"/>
        <w:jc w:val="left"/>
        <w:rPr>
          <w:rFonts w:hint="eastAsia"/>
          <w:b/>
          <w:color w:val="000000"/>
          <w:sz w:val="28"/>
        </w:rPr>
      </w:pPr>
      <w:r>
        <w:rPr>
          <w:rFonts w:hint="eastAsia"/>
          <w:b/>
          <w:color w:val="000000"/>
          <w:sz w:val="28"/>
        </w:rPr>
        <w:t>十、甲乙双方的权利义务与质量验收要求</w:t>
      </w:r>
    </w:p>
    <w:p w14:paraId="23156848">
      <w:pPr>
        <w:adjustRightInd w:val="0"/>
        <w:snapToGrid w:val="0"/>
        <w:spacing w:line="508" w:lineRule="exact"/>
        <w:ind w:firstLine="572" w:firstLineChars="200"/>
        <w:rPr>
          <w:rFonts w:hint="eastAsia" w:ascii="宋体" w:hAnsi="宋体"/>
          <w:spacing w:val="3"/>
          <w:sz w:val="28"/>
          <w:szCs w:val="28"/>
        </w:rPr>
      </w:pPr>
      <w:r>
        <w:rPr>
          <w:rFonts w:ascii="宋体" w:hAnsi="宋体"/>
          <w:spacing w:val="3"/>
          <w:sz w:val="28"/>
          <w:szCs w:val="28"/>
        </w:rPr>
        <w:t>1</w:t>
      </w:r>
      <w:r>
        <w:rPr>
          <w:rFonts w:hint="eastAsia" w:ascii="宋体" w:hAnsi="宋体"/>
          <w:spacing w:val="3"/>
          <w:sz w:val="28"/>
          <w:szCs w:val="28"/>
        </w:rPr>
        <w:t>、发包方的权利义务</w:t>
      </w:r>
    </w:p>
    <w:p w14:paraId="074E4F00">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）发包方派专人到现场交代施工内容及施工相关要求。</w:t>
      </w:r>
    </w:p>
    <w:p w14:paraId="6239795B">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）发包方按照本合同约定按时向承包方支付施工费。</w:t>
      </w:r>
    </w:p>
    <w:p w14:paraId="51F18767">
      <w:pPr>
        <w:adjustRightInd w:val="0"/>
        <w:snapToGrid w:val="0"/>
        <w:spacing w:line="508" w:lineRule="exact"/>
        <w:ind w:firstLine="572" w:firstLineChars="200"/>
        <w:rPr>
          <w:rFonts w:hint="eastAsia" w:ascii="宋体" w:hAnsi="宋体"/>
          <w:spacing w:val="3"/>
          <w:sz w:val="28"/>
          <w:szCs w:val="28"/>
        </w:rPr>
      </w:pPr>
      <w:r>
        <w:rPr>
          <w:rFonts w:ascii="宋体" w:hAnsi="宋体"/>
          <w:spacing w:val="3"/>
          <w:sz w:val="28"/>
          <w:szCs w:val="28"/>
        </w:rPr>
        <w:t>2</w:t>
      </w:r>
      <w:r>
        <w:rPr>
          <w:rFonts w:hint="eastAsia" w:ascii="宋体" w:hAnsi="宋体"/>
          <w:spacing w:val="3"/>
          <w:sz w:val="28"/>
          <w:szCs w:val="28"/>
        </w:rPr>
        <w:t>、承包方的权利义务</w:t>
      </w:r>
    </w:p>
    <w:p w14:paraId="39E4511C">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）承包方负责按照发包方现场交代的所有施工内容及要求进行施工。</w:t>
      </w:r>
    </w:p>
    <w:p w14:paraId="07087F15">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）施工中所用机械等工具均由承包方自备并承担费用。</w:t>
      </w:r>
    </w:p>
    <w:p w14:paraId="6C000F49">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（3）在合同履行过程中，因承包方原因对发包方及第三人的人身、财产造成损害、损坏的，由承包方负责处理，承担全部赔偿及补偿责任。</w:t>
      </w:r>
    </w:p>
    <w:p w14:paraId="5957485F">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（4）承包方履行本合同必须随时强调安全作业，施工中发生的设备、人身等一切安全事故，由承包方负责处理并承担全部费用，若因此给发包方造成损失的，承包方要赔偿发包方因此受到的全部损失。</w:t>
      </w:r>
    </w:p>
    <w:p w14:paraId="0480513D">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（5）承包方在施工过程中，应采取有效措施保证周围其它设施的完好性，若其它设施有损伤，承包方负责赔偿设施损坏的全部损失。</w:t>
      </w:r>
    </w:p>
    <w:p w14:paraId="49B933C7">
      <w:pPr>
        <w:adjustRightInd w:val="0"/>
        <w:snapToGrid w:val="0"/>
        <w:spacing w:line="508" w:lineRule="exact"/>
        <w:ind w:firstLine="572" w:firstLineChars="200"/>
        <w:rPr>
          <w:rFonts w:hint="eastAsia" w:ascii="宋体" w:hAnsi="宋体"/>
          <w:spacing w:val="3"/>
          <w:sz w:val="28"/>
          <w:szCs w:val="28"/>
        </w:rPr>
      </w:pPr>
      <w:r>
        <w:rPr>
          <w:rFonts w:ascii="宋体" w:hAnsi="宋体"/>
          <w:spacing w:val="3"/>
          <w:sz w:val="28"/>
          <w:szCs w:val="28"/>
        </w:rPr>
        <w:t>3</w:t>
      </w:r>
      <w:r>
        <w:rPr>
          <w:rFonts w:hint="eastAsia" w:ascii="宋体" w:hAnsi="宋体"/>
          <w:spacing w:val="3"/>
          <w:sz w:val="28"/>
          <w:szCs w:val="28"/>
        </w:rPr>
        <w:t>、质量及验收标准</w:t>
      </w:r>
    </w:p>
    <w:p w14:paraId="61042FFC">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）所有施工内容要满足发包方要求。</w:t>
      </w:r>
    </w:p>
    <w:p w14:paraId="78B1B674">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）本项目质量标准为合格质量，质量监督及验收部门为发包方有关部门，承包方应以创优良项目的要求组织施工。发包方以国家颁发的施工验收规范和质量检验评定标准等为依据，评定该项目的质量等级。</w:t>
      </w:r>
    </w:p>
    <w:p w14:paraId="54B16D29">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（3）在质保期内，发生一般质量问题，承包方应在接到修理通知之日起三天内派人修理；如发生须紧急抢修的事故，承包方接到事故通知后，应</w:t>
      </w:r>
      <w:r>
        <w:rPr>
          <w:rFonts w:hint="eastAsia" w:ascii="宋体" w:hAnsi="宋体"/>
          <w:spacing w:val="3"/>
          <w:sz w:val="28"/>
          <w:szCs w:val="28"/>
          <w:highlight w:val="none"/>
          <w:lang w:val="en-US" w:eastAsia="zh-CN"/>
        </w:rPr>
        <w:t>12</w:t>
      </w:r>
      <w:r>
        <w:rPr>
          <w:rFonts w:hint="eastAsia" w:ascii="宋体" w:hAnsi="宋体"/>
          <w:spacing w:val="3"/>
          <w:sz w:val="28"/>
          <w:szCs w:val="28"/>
        </w:rPr>
        <w:t>小时内到达事故现场抢修。如承包方不在约定期限内派人修理，发包方可委托他人修理，修理费用从质保金内扣除。质保金不足扣除的，由承包方另行支付。</w:t>
      </w:r>
    </w:p>
    <w:p w14:paraId="35B5A2D3">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（4）因承包方施工质量问题给发包方造成损失或其它预期利益损害的，以及因质量问题造成其他人身和财产损害的，承包方承担全部的赔偿责任。</w:t>
      </w:r>
    </w:p>
    <w:p w14:paraId="143445D5">
      <w:pPr>
        <w:spacing w:line="480" w:lineRule="auto"/>
        <w:ind w:firstLine="140" w:firstLineChars="50"/>
        <w:jc w:val="left"/>
        <w:rPr>
          <w:rFonts w:hint="eastAsia"/>
          <w:b/>
          <w:color w:val="0000FF"/>
          <w:sz w:val="28"/>
        </w:rPr>
      </w:pPr>
      <w:r>
        <w:rPr>
          <w:rFonts w:hint="eastAsia"/>
          <w:b/>
          <w:color w:val="000000"/>
          <w:sz w:val="28"/>
        </w:rPr>
        <w:t>十一、安全环保条款</w:t>
      </w:r>
    </w:p>
    <w:p w14:paraId="3467B34D">
      <w:pPr>
        <w:adjustRightInd w:val="0"/>
        <w:snapToGrid w:val="0"/>
        <w:spacing w:line="508" w:lineRule="exact"/>
        <w:ind w:firstLine="572" w:firstLineChars="200"/>
        <w:rPr>
          <w:rFonts w:hint="eastAsia" w:ascii="宋体" w:hAnsi="宋体"/>
          <w:spacing w:val="3"/>
          <w:sz w:val="28"/>
          <w:szCs w:val="28"/>
        </w:rPr>
      </w:pPr>
      <w:r>
        <w:rPr>
          <w:rFonts w:ascii="宋体" w:hAnsi="宋体"/>
          <w:spacing w:val="3"/>
          <w:sz w:val="28"/>
          <w:szCs w:val="28"/>
        </w:rPr>
        <w:t>1</w:t>
      </w:r>
      <w:r>
        <w:rPr>
          <w:rFonts w:hint="eastAsia" w:ascii="宋体" w:hAnsi="宋体"/>
          <w:spacing w:val="3"/>
          <w:sz w:val="28"/>
          <w:szCs w:val="28"/>
        </w:rPr>
        <w:t>、承包方应遵守国家法律法规，承包方负责现场监护，随时接受发包方安全环保检查人员的监督检查。</w:t>
      </w:r>
    </w:p>
    <w:p w14:paraId="09567049">
      <w:pPr>
        <w:adjustRightInd w:val="0"/>
        <w:snapToGrid w:val="0"/>
        <w:spacing w:line="508" w:lineRule="exact"/>
        <w:ind w:firstLine="572" w:firstLineChars="200"/>
        <w:rPr>
          <w:rFonts w:hint="eastAsia" w:ascii="宋体" w:hAnsi="宋体"/>
          <w:spacing w:val="3"/>
          <w:sz w:val="28"/>
          <w:szCs w:val="28"/>
        </w:rPr>
      </w:pPr>
      <w:r>
        <w:rPr>
          <w:rFonts w:ascii="宋体" w:hAnsi="宋体"/>
          <w:spacing w:val="3"/>
          <w:sz w:val="28"/>
          <w:szCs w:val="28"/>
        </w:rPr>
        <w:t>2</w:t>
      </w:r>
      <w:r>
        <w:rPr>
          <w:rFonts w:hint="eastAsia" w:ascii="宋体" w:hAnsi="宋体"/>
          <w:spacing w:val="3"/>
          <w:sz w:val="28"/>
          <w:szCs w:val="28"/>
        </w:rPr>
        <w:t>、承包方开工前应开展危险源辨识，并制订安全措施，将措施及落实情况报发包方。</w:t>
      </w:r>
    </w:p>
    <w:p w14:paraId="541E55CB">
      <w:pPr>
        <w:adjustRightInd w:val="0"/>
        <w:snapToGrid w:val="0"/>
        <w:spacing w:line="508" w:lineRule="exact"/>
        <w:ind w:firstLine="572" w:firstLineChars="200"/>
        <w:rPr>
          <w:rFonts w:hint="eastAsia" w:ascii="宋体" w:hAnsi="宋体"/>
          <w:spacing w:val="3"/>
          <w:sz w:val="28"/>
          <w:szCs w:val="28"/>
        </w:rPr>
      </w:pPr>
      <w:r>
        <w:rPr>
          <w:rFonts w:ascii="宋体" w:hAnsi="宋体"/>
          <w:spacing w:val="3"/>
          <w:sz w:val="28"/>
          <w:szCs w:val="28"/>
        </w:rPr>
        <w:t>3</w:t>
      </w:r>
      <w:r>
        <w:rPr>
          <w:rFonts w:hint="eastAsia" w:ascii="宋体" w:hAnsi="宋体"/>
          <w:spacing w:val="3"/>
          <w:sz w:val="28"/>
          <w:szCs w:val="28"/>
        </w:rPr>
        <w:t>、承包方开工前应制定防止和减少粉尘、噪声、污水等污染环境的有效措施，报发包方。</w:t>
      </w:r>
    </w:p>
    <w:p w14:paraId="2ACE2C35">
      <w:pPr>
        <w:adjustRightInd w:val="0"/>
        <w:snapToGrid w:val="0"/>
        <w:spacing w:line="508" w:lineRule="exact"/>
        <w:ind w:firstLine="572" w:firstLineChars="200"/>
        <w:rPr>
          <w:rFonts w:hint="eastAsia" w:ascii="宋体" w:hAnsi="宋体"/>
          <w:spacing w:val="3"/>
          <w:sz w:val="28"/>
          <w:szCs w:val="28"/>
        </w:rPr>
      </w:pPr>
      <w:r>
        <w:rPr>
          <w:rFonts w:ascii="宋体" w:hAnsi="宋体"/>
          <w:spacing w:val="3"/>
          <w:sz w:val="28"/>
          <w:szCs w:val="28"/>
        </w:rPr>
        <w:t>4</w:t>
      </w:r>
      <w:r>
        <w:rPr>
          <w:rFonts w:hint="eastAsia" w:ascii="宋体" w:hAnsi="宋体"/>
          <w:spacing w:val="3"/>
          <w:sz w:val="28"/>
          <w:szCs w:val="28"/>
        </w:rPr>
        <w:t>、承包方出现安全、环境问题应接受发包方安全环保部门的审查处理。发生重大伤亡事故及其它安全事故，承包方应立即通知发包方项目施工管理人员并按照有关规定上报有关部门，同时按政府有关部门规定接受处理。承包方造成的安全、环保事故及行政处罚，承包方应对此承担全部责任及全部费用并赔偿发包方因此受到的全部损失。</w:t>
      </w:r>
    </w:p>
    <w:p w14:paraId="4282B077">
      <w:pPr>
        <w:adjustRightInd w:val="0"/>
        <w:snapToGrid w:val="0"/>
        <w:spacing w:line="508" w:lineRule="exact"/>
        <w:ind w:firstLine="572" w:firstLineChars="200"/>
        <w:rPr>
          <w:rFonts w:hint="eastAsia" w:ascii="宋体" w:hAnsi="宋体"/>
          <w:spacing w:val="3"/>
          <w:sz w:val="28"/>
          <w:szCs w:val="28"/>
        </w:rPr>
      </w:pPr>
      <w:r>
        <w:rPr>
          <w:rFonts w:hint="eastAsia" w:ascii="宋体" w:hAnsi="宋体"/>
          <w:spacing w:val="3"/>
          <w:sz w:val="28"/>
          <w:szCs w:val="28"/>
        </w:rPr>
        <w:t>5、承包方履行本合同必须随时强调安全作业，施工中发生的设备、人身等一切安全事故，由承包方负责处理并承担全部费用，若因此给发包方造成损失的，承包方要赔偿发包方因此受到的全部损失。</w:t>
      </w:r>
    </w:p>
    <w:p w14:paraId="7C0A0371">
      <w:pPr>
        <w:jc w:val="left"/>
        <w:rPr>
          <w:rFonts w:hint="eastAsia" w:ascii="宋体"/>
          <w:b/>
          <w:color w:val="000000"/>
          <w:sz w:val="28"/>
          <w:szCs w:val="28"/>
        </w:rPr>
      </w:pPr>
      <w:r>
        <w:rPr>
          <w:rFonts w:hint="eastAsia" w:ascii="宋体" w:hAnsi="宋体"/>
          <w:b/>
          <w:color w:val="000000"/>
          <w:sz w:val="28"/>
          <w:szCs w:val="28"/>
        </w:rPr>
        <w:t>十二、</w:t>
      </w:r>
      <w:r>
        <w:rPr>
          <w:rFonts w:hint="eastAsia" w:ascii="宋体" w:hAnsi="宋体"/>
          <w:b/>
          <w:sz w:val="28"/>
          <w:szCs w:val="28"/>
        </w:rPr>
        <w:t>违约责任</w:t>
      </w:r>
    </w:p>
    <w:p w14:paraId="2732FDB7">
      <w:pPr>
        <w:spacing w:line="480" w:lineRule="auto"/>
        <w:ind w:firstLine="560" w:firstLineChars="200"/>
        <w:jc w:val="left"/>
        <w:rPr>
          <w:rFonts w:hint="eastAsia"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因承包方原因在合同签订后规定时间内没有办理施工相关手续，或开工后因承包方原因造成项目拖期，承包方应每日按合同额的千分之一的比例向发包方偿付逾期违约金，发包方有权从履约保证金及工程款中扣除。</w:t>
      </w:r>
    </w:p>
    <w:p w14:paraId="31621BD0">
      <w:pPr>
        <w:spacing w:line="480" w:lineRule="auto"/>
        <w:ind w:firstLine="560" w:firstLineChars="200"/>
        <w:jc w:val="left"/>
        <w:rPr>
          <w:rFonts w:hint="eastAsia" w:ascii="宋体" w:hAnsi="宋体"/>
          <w:color w:val="000000"/>
          <w:sz w:val="28"/>
          <w:szCs w:val="28"/>
        </w:rPr>
      </w:pPr>
      <w:r>
        <w:rPr>
          <w:rFonts w:hint="eastAsia" w:ascii="宋体" w:hAnsi="宋体"/>
          <w:color w:val="000000"/>
          <w:sz w:val="28"/>
          <w:szCs w:val="28"/>
        </w:rPr>
        <w:t>2、因承包方原因造成本项目拖延工期超过1天的，发包方有权解除合同，另选施工队伍，承包方应支付包干合同额的20%的违约金。违约金不足以补偿发包方损失的，承包方另行弥补一切损失。</w:t>
      </w:r>
    </w:p>
    <w:p w14:paraId="2DF27303">
      <w:pPr>
        <w:spacing w:line="480" w:lineRule="auto"/>
        <w:ind w:firstLine="560" w:firstLineChars="200"/>
        <w:jc w:val="left"/>
        <w:rPr>
          <w:rFonts w:hint="eastAsia" w:ascii="宋体" w:hAnsi="宋体"/>
          <w:color w:val="000000"/>
          <w:sz w:val="28"/>
          <w:szCs w:val="28"/>
        </w:rPr>
      </w:pPr>
      <w:r>
        <w:rPr>
          <w:rFonts w:hint="eastAsia" w:ascii="宋体" w:hAnsi="宋体"/>
          <w:color w:val="000000"/>
          <w:sz w:val="28"/>
          <w:szCs w:val="28"/>
        </w:rPr>
        <w:t>3、协议履行期间因承包方违反本协议项下安全管理义务而发生安全事故的，承包方应依法承担全部责任。若因此给发包方或任何第三方造成损失（包括但不限于人身损害、财产损失、停工损失、行政处罚、律师费、诉讼费等），承包方应承担全部赔偿责任。</w:t>
      </w:r>
    </w:p>
    <w:p w14:paraId="5FADBE42">
      <w:pPr>
        <w:spacing w:line="480" w:lineRule="auto"/>
        <w:ind w:firstLine="560" w:firstLineChars="200"/>
        <w:jc w:val="left"/>
        <w:rPr>
          <w:rFonts w:hint="eastAsia" w:ascii="宋体" w:hAnsi="宋体"/>
          <w:color w:val="000000"/>
          <w:sz w:val="28"/>
          <w:szCs w:val="28"/>
        </w:rPr>
      </w:pPr>
      <w:r>
        <w:rPr>
          <w:rFonts w:hint="eastAsia" w:ascii="宋体" w:hAnsi="宋体"/>
          <w:color w:val="000000"/>
          <w:sz w:val="28"/>
          <w:szCs w:val="28"/>
        </w:rPr>
        <w:t>4、若发包方无正当理由，未按本合同约定的付款期限支付工程进度款或结算款，每逾期一日，应按逾期支付金额的 万分之三 向承包方支付违约金，最高不超过合同价的</w:t>
      </w:r>
      <w:r>
        <w:rPr>
          <w:rFonts w:hint="eastAsia" w:ascii="宋体" w:hAnsi="宋体"/>
          <w:color w:val="000000"/>
          <w:sz w:val="28"/>
          <w:szCs w:val="28"/>
          <w:lang w:val="en-US" w:eastAsia="zh-CN"/>
        </w:rPr>
        <w:t>2</w:t>
      </w:r>
      <w:r>
        <w:rPr>
          <w:rFonts w:hint="eastAsia" w:ascii="宋体" w:hAnsi="宋体"/>
          <w:color w:val="000000"/>
          <w:sz w:val="28"/>
          <w:szCs w:val="28"/>
        </w:rPr>
        <w:t>0%。</w:t>
      </w:r>
    </w:p>
    <w:p w14:paraId="1FD1B577">
      <w:pPr>
        <w:spacing w:line="480" w:lineRule="auto"/>
        <w:ind w:firstLine="560" w:firstLineChars="200"/>
        <w:jc w:val="left"/>
        <w:rPr>
          <w:rFonts w:hint="eastAsia" w:ascii="宋体" w:hAnsi="宋体"/>
          <w:color w:val="000000"/>
          <w:sz w:val="28"/>
          <w:szCs w:val="28"/>
        </w:rPr>
      </w:pPr>
      <w:r>
        <w:rPr>
          <w:rFonts w:hint="eastAsia" w:ascii="宋体" w:hAnsi="宋体"/>
          <w:color w:val="000000"/>
          <w:sz w:val="28"/>
          <w:szCs w:val="28"/>
        </w:rPr>
        <w:t>5、因发包方未能及时提供施工所需条件（如作业面、指定的甲供材料等）或指令错误，造成承包方工期延误或费用增加的，承包方工期相应顺延，并由发包方承担因此增加的费用。</w:t>
      </w:r>
    </w:p>
    <w:p w14:paraId="774888CE">
      <w:pPr>
        <w:spacing w:line="360" w:lineRule="auto"/>
        <w:jc w:val="left"/>
        <w:rPr>
          <w:rFonts w:hint="eastAsia" w:ascii="宋体"/>
          <w:b/>
          <w:color w:val="000000"/>
          <w:sz w:val="28"/>
          <w:szCs w:val="28"/>
        </w:rPr>
      </w:pPr>
      <w:r>
        <w:rPr>
          <w:rFonts w:hint="eastAsia" w:ascii="宋体" w:hAnsi="宋体"/>
          <w:b/>
          <w:color w:val="000000"/>
          <w:sz w:val="28"/>
          <w:szCs w:val="28"/>
        </w:rPr>
        <w:t>十一、争议解决方式</w:t>
      </w:r>
    </w:p>
    <w:p w14:paraId="34B53821">
      <w:pPr>
        <w:spacing w:line="360" w:lineRule="auto"/>
        <w:ind w:firstLine="560" w:firstLineChars="200"/>
        <w:jc w:val="left"/>
        <w:rPr>
          <w:rFonts w:hint="eastAsia" w:ascii="宋体"/>
          <w:color w:val="000000"/>
          <w:sz w:val="28"/>
          <w:szCs w:val="28"/>
        </w:rPr>
      </w:pPr>
      <w:r>
        <w:rPr>
          <w:rFonts w:hint="eastAsia" w:ascii="宋体" w:hAnsi="宋体"/>
          <w:color w:val="000000"/>
          <w:sz w:val="28"/>
          <w:szCs w:val="28"/>
        </w:rPr>
        <w:t>因本合同发生的争议，双方先友好协商，协商不成的，向发包方所在地（章丘区）人民法院提起诉讼。</w:t>
      </w:r>
    </w:p>
    <w:p w14:paraId="2737160B">
      <w:pPr>
        <w:spacing w:line="360" w:lineRule="auto"/>
        <w:jc w:val="left"/>
        <w:rPr>
          <w:rFonts w:hint="eastAsia" w:ascii="宋体"/>
          <w:b/>
          <w:color w:val="000000"/>
          <w:sz w:val="28"/>
          <w:szCs w:val="28"/>
        </w:rPr>
      </w:pPr>
      <w:r>
        <w:rPr>
          <w:rFonts w:hint="eastAsia" w:ascii="宋体" w:hAnsi="宋体"/>
          <w:b/>
          <w:color w:val="000000"/>
          <w:sz w:val="28"/>
          <w:szCs w:val="28"/>
        </w:rPr>
        <w:t>十二、其它条款</w:t>
      </w:r>
    </w:p>
    <w:p w14:paraId="0755657D">
      <w:pPr>
        <w:spacing w:line="480" w:lineRule="exact"/>
        <w:ind w:firstLine="560" w:firstLineChars="200"/>
        <w:rPr>
          <w:rFonts w:hint="eastAsia" w:ascii="宋体" w:hAnsi="宋体" w:eastAsia="宋体"/>
          <w:color w:val="000000"/>
          <w:sz w:val="28"/>
          <w:szCs w:val="28"/>
          <w:u w:val="single"/>
        </w:rPr>
      </w:pPr>
      <w:r>
        <w:rPr>
          <w:rFonts w:hint="eastAsia" w:ascii="宋体" w:hAnsi="宋体" w:eastAsia="宋体"/>
          <w:color w:val="000000"/>
          <w:sz w:val="28"/>
          <w:szCs w:val="28"/>
        </w:rPr>
        <w:t>1、本工程发包方管理部门为项目部，发包方委派工程项目负责人为</w:t>
      </w:r>
      <w:r>
        <w:rPr>
          <w:rFonts w:hint="eastAsia" w:ascii="宋体" w:hAnsi="宋体" w:eastAsia="宋体"/>
          <w:color w:val="000000"/>
          <w:sz w:val="28"/>
          <w:szCs w:val="28"/>
          <w:u w:val="single"/>
        </w:rPr>
        <w:t xml:space="preserve">        </w:t>
      </w:r>
      <w:r>
        <w:rPr>
          <w:rFonts w:hint="eastAsia" w:ascii="宋体" w:hAnsi="宋体" w:eastAsia="宋体"/>
          <w:color w:val="000000"/>
          <w:sz w:val="28"/>
          <w:szCs w:val="28"/>
        </w:rPr>
        <w:t>；承包方委派项目负责人为</w:t>
      </w:r>
      <w:r>
        <w:rPr>
          <w:rFonts w:hint="eastAsia" w:ascii="宋体" w:hAnsi="宋体" w:eastAsia="宋体"/>
          <w:color w:val="000000"/>
          <w:sz w:val="28"/>
          <w:szCs w:val="28"/>
          <w:u w:val="single"/>
        </w:rPr>
        <w:t xml:space="preserve">           </w:t>
      </w:r>
    </w:p>
    <w:p w14:paraId="72231671">
      <w:pPr>
        <w:pStyle w:val="143"/>
        <w:spacing w:line="480" w:lineRule="atLeast"/>
        <w:ind w:firstLine="560" w:firstLineChars="200"/>
        <w:rPr>
          <w:rFonts w:hint="eastAsia" w:ascii="宋体" w:hAnsi="宋体"/>
          <w:color w:val="000000"/>
          <w:kern w:val="2"/>
          <w:sz w:val="28"/>
          <w:szCs w:val="28"/>
        </w:rPr>
      </w:pPr>
      <w:r>
        <w:rPr>
          <w:rFonts w:hint="eastAsia" w:ascii="宋体" w:hAnsi="宋体"/>
          <w:color w:val="000000"/>
          <w:kern w:val="2"/>
          <w:sz w:val="28"/>
          <w:szCs w:val="28"/>
        </w:rPr>
        <w:t>2、本合同承包方不得转包或分包，否则，发包方有权解除合同，另择队伍，并追究承包方违约责任及给发包方造成的损失。</w:t>
      </w:r>
    </w:p>
    <w:p w14:paraId="4720E96E">
      <w:pPr>
        <w:pStyle w:val="143"/>
        <w:spacing w:line="480" w:lineRule="atLeast"/>
        <w:ind w:firstLine="570"/>
        <w:rPr>
          <w:rFonts w:hint="eastAsia" w:ascii="宋体" w:hAnsi="宋体"/>
          <w:color w:val="000000"/>
          <w:kern w:val="2"/>
          <w:sz w:val="28"/>
          <w:szCs w:val="28"/>
        </w:rPr>
      </w:pPr>
      <w:r>
        <w:rPr>
          <w:rFonts w:hint="eastAsia" w:ascii="宋体" w:hAnsi="宋体"/>
          <w:color w:val="000000"/>
          <w:kern w:val="2"/>
          <w:sz w:val="28"/>
          <w:szCs w:val="28"/>
        </w:rPr>
        <w:t>3、本工程的招投标文件和施工过程中的会议纪要、补充协议、双方洽谈的变更记录及发包方的有关规定等均作为本合同有效组成部分，但涉及报价与最终合同签订价有差异的地方，以本合同为准。</w:t>
      </w:r>
    </w:p>
    <w:p w14:paraId="54A80EE1">
      <w:pPr>
        <w:spacing w:line="360" w:lineRule="auto"/>
        <w:ind w:firstLine="560" w:firstLineChars="200"/>
        <w:rPr>
          <w:rFonts w:hint="eastAsia" w:ascii="宋体" w:hAnsi="宋体" w:eastAsia="宋体"/>
          <w:color w:val="000000"/>
          <w:sz w:val="28"/>
          <w:szCs w:val="28"/>
        </w:rPr>
      </w:pPr>
      <w:r>
        <w:rPr>
          <w:rFonts w:hint="eastAsia" w:ascii="宋体" w:hAnsi="宋体" w:eastAsia="宋体"/>
          <w:color w:val="000000"/>
          <w:sz w:val="28"/>
          <w:szCs w:val="28"/>
        </w:rPr>
        <w:t>4、本合同一式陆份，发包方执肆份，承包方执贰份。自双方法定代表人或其授权的委托代理人签字并盖章之日起生效。</w:t>
      </w:r>
    </w:p>
    <w:p w14:paraId="6871BBB7">
      <w:pPr>
        <w:widowControl/>
        <w:jc w:val="left"/>
        <w:rPr>
          <w:rFonts w:ascii="Times New Roman" w:hAnsi="Times New Roman" w:eastAsia="黑体"/>
          <w:b/>
          <w:color w:val="000000"/>
        </w:rPr>
      </w:pPr>
    </w:p>
    <w:p w14:paraId="793F5277">
      <w:pPr>
        <w:spacing w:line="300" w:lineRule="auto"/>
        <w:rPr>
          <w:rFonts w:ascii="Times New Roman" w:hAnsi="Times New Roman" w:eastAsia="黑体"/>
          <w:b/>
          <w:color w:val="000000"/>
        </w:rPr>
      </w:pPr>
    </w:p>
    <w:tbl>
      <w:tblPr>
        <w:tblStyle w:val="47"/>
        <w:tblW w:w="0" w:type="auto"/>
        <w:jc w:val="center"/>
        <w:tblLayout w:type="autofit"/>
        <w:tblCellMar>
          <w:top w:w="0" w:type="dxa"/>
          <w:left w:w="108" w:type="dxa"/>
          <w:bottom w:w="0" w:type="dxa"/>
          <w:right w:w="108" w:type="dxa"/>
        </w:tblCellMar>
      </w:tblPr>
      <w:tblGrid>
        <w:gridCol w:w="4466"/>
        <w:gridCol w:w="4368"/>
      </w:tblGrid>
      <w:tr w14:paraId="618233CA">
        <w:tblPrEx>
          <w:tblCellMar>
            <w:top w:w="0" w:type="dxa"/>
            <w:left w:w="108" w:type="dxa"/>
            <w:bottom w:w="0" w:type="dxa"/>
            <w:right w:w="108" w:type="dxa"/>
          </w:tblCellMar>
        </w:tblPrEx>
        <w:trPr>
          <w:trHeight w:val="834" w:hRule="atLeast"/>
          <w:jc w:val="center"/>
        </w:trPr>
        <w:tc>
          <w:tcPr>
            <w:tcW w:w="4672" w:type="dxa"/>
          </w:tcPr>
          <w:p w14:paraId="5999E86E">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发包方（公章）：济南黄河爆破工程有限责任公司</w:t>
            </w:r>
          </w:p>
        </w:tc>
        <w:tc>
          <w:tcPr>
            <w:tcW w:w="4672" w:type="dxa"/>
          </w:tcPr>
          <w:p w14:paraId="00769D6E">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 xml:space="preserve">承包方：（公章） </w:t>
            </w:r>
          </w:p>
        </w:tc>
      </w:tr>
      <w:tr w14:paraId="38B578CE">
        <w:tblPrEx>
          <w:tblCellMar>
            <w:top w:w="0" w:type="dxa"/>
            <w:left w:w="108" w:type="dxa"/>
            <w:bottom w:w="0" w:type="dxa"/>
            <w:right w:w="108" w:type="dxa"/>
          </w:tblCellMar>
        </w:tblPrEx>
        <w:trPr>
          <w:jc w:val="center"/>
        </w:trPr>
        <w:tc>
          <w:tcPr>
            <w:tcW w:w="4672" w:type="dxa"/>
          </w:tcPr>
          <w:p w14:paraId="735C356D">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地址：山东省济南市章丘区官庄街道青野村东</w:t>
            </w:r>
          </w:p>
        </w:tc>
        <w:tc>
          <w:tcPr>
            <w:tcW w:w="4672" w:type="dxa"/>
          </w:tcPr>
          <w:p w14:paraId="337A9288">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 xml:space="preserve">地址： </w:t>
            </w:r>
          </w:p>
          <w:p w14:paraId="00542FAC">
            <w:pPr>
              <w:pStyle w:val="143"/>
              <w:spacing w:line="480" w:lineRule="atLeast"/>
              <w:ind w:firstLine="570"/>
              <w:rPr>
                <w:rFonts w:hint="eastAsia" w:ascii="宋体" w:hAnsi="宋体"/>
                <w:color w:val="000000"/>
                <w:kern w:val="2"/>
                <w:sz w:val="28"/>
                <w:szCs w:val="28"/>
              </w:rPr>
            </w:pPr>
          </w:p>
        </w:tc>
      </w:tr>
      <w:tr w14:paraId="5FD07A5B">
        <w:tblPrEx>
          <w:tblCellMar>
            <w:top w:w="0" w:type="dxa"/>
            <w:left w:w="108" w:type="dxa"/>
            <w:bottom w:w="0" w:type="dxa"/>
            <w:right w:w="108" w:type="dxa"/>
          </w:tblCellMar>
        </w:tblPrEx>
        <w:trPr>
          <w:jc w:val="center"/>
        </w:trPr>
        <w:tc>
          <w:tcPr>
            <w:tcW w:w="4672" w:type="dxa"/>
          </w:tcPr>
          <w:p w14:paraId="24E84DD5">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法定代表人：（签字）</w:t>
            </w:r>
          </w:p>
          <w:p w14:paraId="7EFEA1D1">
            <w:pPr>
              <w:pStyle w:val="143"/>
              <w:spacing w:line="480" w:lineRule="atLeast"/>
              <w:ind w:firstLine="570"/>
              <w:rPr>
                <w:rFonts w:hint="eastAsia" w:ascii="宋体" w:hAnsi="宋体"/>
                <w:color w:val="000000"/>
                <w:kern w:val="2"/>
                <w:sz w:val="28"/>
                <w:szCs w:val="28"/>
              </w:rPr>
            </w:pPr>
          </w:p>
        </w:tc>
        <w:tc>
          <w:tcPr>
            <w:tcW w:w="4672" w:type="dxa"/>
          </w:tcPr>
          <w:p w14:paraId="0992CD09">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法定代表人：（签字）</w:t>
            </w:r>
          </w:p>
        </w:tc>
      </w:tr>
      <w:tr w14:paraId="4F41788B">
        <w:tblPrEx>
          <w:tblCellMar>
            <w:top w:w="0" w:type="dxa"/>
            <w:left w:w="108" w:type="dxa"/>
            <w:bottom w:w="0" w:type="dxa"/>
            <w:right w:w="108" w:type="dxa"/>
          </w:tblCellMar>
        </w:tblPrEx>
        <w:trPr>
          <w:jc w:val="center"/>
        </w:trPr>
        <w:tc>
          <w:tcPr>
            <w:tcW w:w="4672" w:type="dxa"/>
          </w:tcPr>
          <w:p w14:paraId="5BF2D5B7">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委托代理人：（签字）</w:t>
            </w:r>
          </w:p>
          <w:p w14:paraId="0DFDB376">
            <w:pPr>
              <w:pStyle w:val="143"/>
              <w:spacing w:line="480" w:lineRule="atLeast"/>
              <w:ind w:firstLine="570"/>
              <w:rPr>
                <w:rFonts w:hint="eastAsia" w:ascii="宋体" w:hAnsi="宋体"/>
                <w:color w:val="000000"/>
                <w:kern w:val="2"/>
                <w:sz w:val="28"/>
                <w:szCs w:val="28"/>
              </w:rPr>
            </w:pPr>
          </w:p>
        </w:tc>
        <w:tc>
          <w:tcPr>
            <w:tcW w:w="4672" w:type="dxa"/>
          </w:tcPr>
          <w:p w14:paraId="58DA7182">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委托代理人：（签字）</w:t>
            </w:r>
          </w:p>
        </w:tc>
      </w:tr>
      <w:tr w14:paraId="74826AC2">
        <w:tblPrEx>
          <w:tblCellMar>
            <w:top w:w="0" w:type="dxa"/>
            <w:left w:w="108" w:type="dxa"/>
            <w:bottom w:w="0" w:type="dxa"/>
            <w:right w:w="108" w:type="dxa"/>
          </w:tblCellMar>
        </w:tblPrEx>
        <w:trPr>
          <w:jc w:val="center"/>
        </w:trPr>
        <w:tc>
          <w:tcPr>
            <w:tcW w:w="4672" w:type="dxa"/>
          </w:tcPr>
          <w:p w14:paraId="1DBA510D">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电话：0531-83790165</w:t>
            </w:r>
          </w:p>
        </w:tc>
        <w:tc>
          <w:tcPr>
            <w:tcW w:w="4672" w:type="dxa"/>
          </w:tcPr>
          <w:p w14:paraId="0FC4306C">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电话：</w:t>
            </w:r>
          </w:p>
        </w:tc>
      </w:tr>
      <w:tr w14:paraId="440C7A1D">
        <w:tblPrEx>
          <w:tblCellMar>
            <w:top w:w="0" w:type="dxa"/>
            <w:left w:w="108" w:type="dxa"/>
            <w:bottom w:w="0" w:type="dxa"/>
            <w:right w:w="108" w:type="dxa"/>
          </w:tblCellMar>
        </w:tblPrEx>
        <w:trPr>
          <w:jc w:val="center"/>
        </w:trPr>
        <w:tc>
          <w:tcPr>
            <w:tcW w:w="4672" w:type="dxa"/>
          </w:tcPr>
          <w:p w14:paraId="4A469846">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传真：</w:t>
            </w:r>
          </w:p>
        </w:tc>
        <w:tc>
          <w:tcPr>
            <w:tcW w:w="4672" w:type="dxa"/>
          </w:tcPr>
          <w:p w14:paraId="114CA2C1">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传真：</w:t>
            </w:r>
          </w:p>
        </w:tc>
      </w:tr>
      <w:tr w14:paraId="4BF4C4F8">
        <w:tblPrEx>
          <w:tblCellMar>
            <w:top w:w="0" w:type="dxa"/>
            <w:left w:w="108" w:type="dxa"/>
            <w:bottom w:w="0" w:type="dxa"/>
            <w:right w:w="108" w:type="dxa"/>
          </w:tblCellMar>
        </w:tblPrEx>
        <w:trPr>
          <w:jc w:val="center"/>
        </w:trPr>
        <w:tc>
          <w:tcPr>
            <w:tcW w:w="4672" w:type="dxa"/>
          </w:tcPr>
          <w:p w14:paraId="2DB586A0">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开户银行：</w:t>
            </w:r>
          </w:p>
        </w:tc>
        <w:tc>
          <w:tcPr>
            <w:tcW w:w="4672" w:type="dxa"/>
          </w:tcPr>
          <w:p w14:paraId="27FA64AB">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开户银行：行</w:t>
            </w:r>
          </w:p>
        </w:tc>
      </w:tr>
      <w:tr w14:paraId="50D9D912">
        <w:tblPrEx>
          <w:tblCellMar>
            <w:top w:w="0" w:type="dxa"/>
            <w:left w:w="108" w:type="dxa"/>
            <w:bottom w:w="0" w:type="dxa"/>
            <w:right w:w="108" w:type="dxa"/>
          </w:tblCellMar>
        </w:tblPrEx>
        <w:trPr>
          <w:jc w:val="center"/>
        </w:trPr>
        <w:tc>
          <w:tcPr>
            <w:tcW w:w="4672" w:type="dxa"/>
          </w:tcPr>
          <w:p w14:paraId="08353790">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帐号：</w:t>
            </w:r>
          </w:p>
        </w:tc>
        <w:tc>
          <w:tcPr>
            <w:tcW w:w="4672" w:type="dxa"/>
          </w:tcPr>
          <w:p w14:paraId="7CA13E24">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帐号：</w:t>
            </w:r>
          </w:p>
        </w:tc>
      </w:tr>
      <w:tr w14:paraId="5526F2BC">
        <w:tblPrEx>
          <w:tblCellMar>
            <w:top w:w="0" w:type="dxa"/>
            <w:left w:w="108" w:type="dxa"/>
            <w:bottom w:w="0" w:type="dxa"/>
            <w:right w:w="108" w:type="dxa"/>
          </w:tblCellMar>
        </w:tblPrEx>
        <w:trPr>
          <w:jc w:val="center"/>
        </w:trPr>
        <w:tc>
          <w:tcPr>
            <w:tcW w:w="4672" w:type="dxa"/>
          </w:tcPr>
          <w:p w14:paraId="50697A41">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邮政编码：250000</w:t>
            </w:r>
          </w:p>
        </w:tc>
        <w:tc>
          <w:tcPr>
            <w:tcW w:w="4672" w:type="dxa"/>
          </w:tcPr>
          <w:p w14:paraId="7983ECF9">
            <w:pPr>
              <w:pStyle w:val="143"/>
              <w:spacing w:line="480" w:lineRule="atLeast"/>
              <w:rPr>
                <w:rFonts w:hint="eastAsia" w:ascii="宋体" w:hAnsi="宋体"/>
                <w:color w:val="000000"/>
                <w:kern w:val="2"/>
                <w:sz w:val="28"/>
                <w:szCs w:val="28"/>
              </w:rPr>
            </w:pPr>
            <w:r>
              <w:rPr>
                <w:rFonts w:hint="eastAsia" w:ascii="宋体" w:hAnsi="宋体"/>
                <w:color w:val="000000"/>
                <w:kern w:val="2"/>
                <w:sz w:val="28"/>
                <w:szCs w:val="28"/>
              </w:rPr>
              <w:t>邮政编码：</w:t>
            </w:r>
          </w:p>
        </w:tc>
      </w:tr>
      <w:tr w14:paraId="2AD6DE34">
        <w:tblPrEx>
          <w:tblCellMar>
            <w:top w:w="0" w:type="dxa"/>
            <w:left w:w="108" w:type="dxa"/>
            <w:bottom w:w="0" w:type="dxa"/>
            <w:right w:w="108" w:type="dxa"/>
          </w:tblCellMar>
        </w:tblPrEx>
        <w:trPr>
          <w:trHeight w:val="680" w:hRule="atLeast"/>
          <w:jc w:val="center"/>
        </w:trPr>
        <w:tc>
          <w:tcPr>
            <w:tcW w:w="9344" w:type="dxa"/>
            <w:gridSpan w:val="2"/>
            <w:vAlign w:val="bottom"/>
          </w:tcPr>
          <w:p w14:paraId="564186A2">
            <w:pPr>
              <w:pStyle w:val="143"/>
              <w:spacing w:line="480" w:lineRule="atLeast"/>
              <w:ind w:firstLine="570"/>
              <w:rPr>
                <w:rFonts w:hint="eastAsia" w:ascii="宋体" w:hAnsi="宋体"/>
                <w:color w:val="000000"/>
                <w:kern w:val="2"/>
                <w:sz w:val="28"/>
                <w:szCs w:val="28"/>
              </w:rPr>
            </w:pPr>
            <w:r>
              <w:rPr>
                <w:rFonts w:hint="eastAsia" w:ascii="宋体" w:hAnsi="宋体"/>
                <w:color w:val="000000"/>
                <w:kern w:val="2"/>
                <w:sz w:val="28"/>
                <w:szCs w:val="28"/>
              </w:rPr>
              <w:t>签订时间：   年  月  日</w:t>
            </w:r>
          </w:p>
        </w:tc>
      </w:tr>
    </w:tbl>
    <w:p w14:paraId="6A96AF24">
      <w:pPr>
        <w:widowControl/>
        <w:jc w:val="left"/>
        <w:rPr>
          <w:rFonts w:ascii="Times New Roman" w:hAnsi="Times New Roman" w:eastAsia="黑体"/>
          <w:b/>
          <w:color w:val="000000"/>
          <w:sz w:val="24"/>
          <w:szCs w:val="24"/>
        </w:rPr>
      </w:pPr>
    </w:p>
    <w:p w14:paraId="21E33AEE">
      <w:pPr>
        <w:tabs>
          <w:tab w:val="left" w:pos="2076"/>
        </w:tabs>
        <w:rPr>
          <w:rFonts w:hint="eastAsia" w:ascii="宋体" w:hAnsi="宋体" w:eastAsia="宋体"/>
          <w:color w:val="000000"/>
          <w:sz w:val="28"/>
          <w:szCs w:val="28"/>
        </w:rPr>
      </w:pPr>
      <w:r>
        <w:rPr>
          <w:rFonts w:hint="eastAsia" w:ascii="宋体" w:hAnsi="宋体" w:eastAsia="宋体"/>
          <w:color w:val="000000"/>
          <w:sz w:val="28"/>
          <w:szCs w:val="28"/>
        </w:rPr>
        <w:t>附件1   工程量清单</w:t>
      </w:r>
    </w:p>
    <w:p w14:paraId="48CBAA04">
      <w:pPr>
        <w:tabs>
          <w:tab w:val="left" w:pos="2076"/>
        </w:tabs>
        <w:rPr>
          <w:rFonts w:hint="eastAsia" w:ascii="宋体" w:hAnsi="宋体" w:eastAsia="宋体"/>
          <w:color w:val="000000"/>
          <w:sz w:val="28"/>
          <w:szCs w:val="28"/>
        </w:rPr>
      </w:pPr>
      <w:r>
        <w:rPr>
          <w:rFonts w:hint="eastAsia" w:ascii="宋体" w:hAnsi="宋体" w:eastAsia="宋体"/>
          <w:color w:val="000000"/>
          <w:sz w:val="28"/>
          <w:szCs w:val="28"/>
        </w:rPr>
        <w:t xml:space="preserve">附件2   工程质量保修书 </w:t>
      </w:r>
    </w:p>
    <w:p w14:paraId="484628A1">
      <w:pPr>
        <w:tabs>
          <w:tab w:val="left" w:pos="2076"/>
        </w:tabs>
        <w:rPr>
          <w:rFonts w:hint="eastAsia" w:ascii="宋体" w:hAnsi="宋体" w:eastAsia="宋体"/>
          <w:color w:val="000000"/>
          <w:sz w:val="28"/>
          <w:szCs w:val="28"/>
        </w:rPr>
      </w:pPr>
      <w:r>
        <w:rPr>
          <w:rFonts w:hint="eastAsia" w:ascii="宋体" w:hAnsi="宋体" w:eastAsia="宋体"/>
          <w:color w:val="000000"/>
          <w:sz w:val="28"/>
          <w:szCs w:val="28"/>
        </w:rPr>
        <w:t>附件3   安全施工协议</w:t>
      </w:r>
    </w:p>
    <w:p w14:paraId="469185C6">
      <w:pPr>
        <w:pStyle w:val="46"/>
        <w:spacing w:after="0"/>
        <w:ind w:left="0" w:leftChars="0" w:firstLine="0" w:firstLineChars="0"/>
        <w:rPr>
          <w:rFonts w:hint="eastAsia" w:ascii="宋体" w:hAnsi="宋体"/>
          <w:color w:val="000000"/>
          <w:kern w:val="2"/>
          <w:sz w:val="28"/>
          <w:szCs w:val="28"/>
        </w:rPr>
      </w:pPr>
      <w:r>
        <w:rPr>
          <w:rFonts w:hint="eastAsia" w:ascii="宋体" w:hAnsi="宋体"/>
          <w:color w:val="000000"/>
          <w:kern w:val="2"/>
          <w:sz w:val="28"/>
          <w:szCs w:val="28"/>
        </w:rPr>
        <w:t>附件4   消防管理协议</w:t>
      </w:r>
    </w:p>
    <w:p w14:paraId="57C5DC3D">
      <w:pPr>
        <w:rPr>
          <w:rFonts w:hint="eastAsia" w:ascii="宋体" w:hAnsi="宋体" w:eastAsia="宋体"/>
          <w:color w:val="000000"/>
          <w:sz w:val="28"/>
          <w:szCs w:val="28"/>
        </w:rPr>
      </w:pPr>
      <w:r>
        <w:rPr>
          <w:rFonts w:hint="eastAsia" w:ascii="宋体" w:hAnsi="宋体" w:eastAsia="宋体"/>
          <w:color w:val="000000"/>
          <w:sz w:val="28"/>
          <w:szCs w:val="28"/>
        </w:rPr>
        <w:t>附件5    廉洁协议书</w:t>
      </w:r>
    </w:p>
    <w:p w14:paraId="26FCD0BE">
      <w:pPr>
        <w:widowControl/>
        <w:jc w:val="left"/>
        <w:rPr>
          <w:rFonts w:ascii="Times New Roman" w:hAnsi="Times New Roman" w:eastAsia="黑体"/>
          <w:b/>
          <w:color w:val="000000"/>
          <w:sz w:val="24"/>
          <w:szCs w:val="24"/>
        </w:rPr>
      </w:pPr>
    </w:p>
    <w:p w14:paraId="6E36EF96">
      <w:pPr>
        <w:spacing w:line="300" w:lineRule="auto"/>
        <w:jc w:val="center"/>
        <w:rPr>
          <w:rFonts w:ascii="Times New Roman" w:hAnsi="Times New Roman" w:eastAsia="黑体"/>
          <w:b/>
          <w:color w:val="000000"/>
          <w:sz w:val="32"/>
          <w:szCs w:val="32"/>
        </w:rPr>
      </w:pPr>
      <w:r>
        <w:rPr>
          <w:rFonts w:ascii="Times New Roman" w:hAnsi="Times New Roman" w:eastAsia="黑体"/>
          <w:b/>
          <w:color w:val="000000"/>
          <w:sz w:val="24"/>
          <w:szCs w:val="24"/>
        </w:rPr>
        <w:br w:type="page"/>
      </w:r>
      <w:r>
        <w:rPr>
          <w:rFonts w:hint="eastAsia" w:ascii="Times New Roman" w:hAnsi="Times New Roman" w:eastAsia="黑体"/>
          <w:b/>
          <w:color w:val="000000"/>
          <w:sz w:val="32"/>
          <w:szCs w:val="32"/>
        </w:rPr>
        <w:t>附件一 工程量清单</w:t>
      </w:r>
    </w:p>
    <w:tbl>
      <w:tblPr>
        <w:tblStyle w:val="47"/>
        <w:tblpPr w:leftFromText="180" w:rightFromText="180" w:vertAnchor="text" w:horzAnchor="page" w:tblpX="1492" w:tblpY="53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3776"/>
        <w:gridCol w:w="687"/>
        <w:gridCol w:w="681"/>
        <w:gridCol w:w="705"/>
        <w:gridCol w:w="968"/>
        <w:gridCol w:w="1587"/>
      </w:tblGrid>
      <w:tr w14:paraId="11F6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trPr>
        <w:tc>
          <w:tcPr>
            <w:tcW w:w="243" w:type="pct"/>
            <w:vAlign w:val="center"/>
          </w:tcPr>
          <w:p w14:paraId="6A311627">
            <w:pPr>
              <w:jc w:val="center"/>
              <w:rPr>
                <w:rFonts w:hint="eastAsia" w:cs="等线"/>
                <w:sz w:val="18"/>
                <w:szCs w:val="18"/>
              </w:rPr>
            </w:pPr>
            <w:r>
              <w:rPr>
                <w:rFonts w:hint="eastAsia" w:cs="等线"/>
                <w:sz w:val="18"/>
                <w:szCs w:val="18"/>
              </w:rPr>
              <w:t>序号</w:t>
            </w:r>
          </w:p>
        </w:tc>
        <w:tc>
          <w:tcPr>
            <w:tcW w:w="2137" w:type="pct"/>
            <w:vAlign w:val="center"/>
          </w:tcPr>
          <w:p w14:paraId="1B3B4960">
            <w:pPr>
              <w:tabs>
                <w:tab w:val="left" w:pos="522"/>
              </w:tabs>
              <w:jc w:val="center"/>
              <w:rPr>
                <w:rFonts w:hint="eastAsia" w:cs="等线"/>
                <w:sz w:val="18"/>
                <w:szCs w:val="18"/>
              </w:rPr>
            </w:pPr>
            <w:r>
              <w:rPr>
                <w:rFonts w:hint="eastAsia" w:cs="等线"/>
                <w:sz w:val="18"/>
                <w:szCs w:val="18"/>
              </w:rPr>
              <w:t>项目名称</w:t>
            </w:r>
          </w:p>
          <w:p w14:paraId="70D802A8">
            <w:pPr>
              <w:tabs>
                <w:tab w:val="left" w:pos="522"/>
              </w:tabs>
              <w:jc w:val="center"/>
              <w:rPr>
                <w:rFonts w:hint="eastAsia" w:cs="等线"/>
                <w:sz w:val="18"/>
                <w:szCs w:val="18"/>
              </w:rPr>
            </w:pPr>
            <w:r>
              <w:rPr>
                <w:rFonts w:hint="eastAsia" w:cs="等线"/>
                <w:sz w:val="18"/>
                <w:szCs w:val="18"/>
              </w:rPr>
              <w:t>技术要求</w:t>
            </w:r>
          </w:p>
        </w:tc>
        <w:tc>
          <w:tcPr>
            <w:tcW w:w="389" w:type="pct"/>
            <w:vAlign w:val="center"/>
          </w:tcPr>
          <w:p w14:paraId="0D64E6FC">
            <w:pPr>
              <w:jc w:val="center"/>
              <w:rPr>
                <w:rFonts w:hint="eastAsia" w:cs="等线"/>
                <w:sz w:val="18"/>
                <w:szCs w:val="18"/>
              </w:rPr>
            </w:pPr>
            <w:r>
              <w:rPr>
                <w:rFonts w:hint="eastAsia" w:cs="等线"/>
                <w:sz w:val="18"/>
                <w:szCs w:val="18"/>
              </w:rPr>
              <w:t>单位</w:t>
            </w:r>
          </w:p>
        </w:tc>
        <w:tc>
          <w:tcPr>
            <w:tcW w:w="385" w:type="pct"/>
            <w:vAlign w:val="center"/>
          </w:tcPr>
          <w:p w14:paraId="595DFDF2">
            <w:pPr>
              <w:tabs>
                <w:tab w:val="left" w:pos="522"/>
              </w:tabs>
              <w:jc w:val="center"/>
              <w:rPr>
                <w:rFonts w:hint="eastAsia" w:cs="等线"/>
                <w:sz w:val="18"/>
                <w:szCs w:val="18"/>
              </w:rPr>
            </w:pPr>
            <w:r>
              <w:rPr>
                <w:rFonts w:hint="eastAsia" w:cs="等线"/>
                <w:sz w:val="18"/>
                <w:szCs w:val="18"/>
              </w:rPr>
              <w:t>数量</w:t>
            </w:r>
          </w:p>
        </w:tc>
        <w:tc>
          <w:tcPr>
            <w:tcW w:w="399" w:type="pct"/>
            <w:vAlign w:val="center"/>
          </w:tcPr>
          <w:p w14:paraId="2A1E21B6">
            <w:pPr>
              <w:tabs>
                <w:tab w:val="left" w:pos="522"/>
              </w:tabs>
              <w:jc w:val="center"/>
              <w:rPr>
                <w:rFonts w:hint="eastAsia" w:cs="等线"/>
                <w:sz w:val="18"/>
                <w:szCs w:val="18"/>
              </w:rPr>
            </w:pPr>
            <w:r>
              <w:rPr>
                <w:rFonts w:hint="eastAsia" w:cs="等线"/>
                <w:sz w:val="18"/>
                <w:szCs w:val="18"/>
              </w:rPr>
              <w:t>单价</w:t>
            </w:r>
          </w:p>
        </w:tc>
        <w:tc>
          <w:tcPr>
            <w:tcW w:w="548" w:type="pct"/>
            <w:vAlign w:val="center"/>
          </w:tcPr>
          <w:p w14:paraId="1998AC8D">
            <w:pPr>
              <w:tabs>
                <w:tab w:val="left" w:pos="522"/>
              </w:tabs>
              <w:jc w:val="center"/>
              <w:rPr>
                <w:rFonts w:hint="eastAsia" w:cs="等线"/>
                <w:sz w:val="18"/>
                <w:szCs w:val="18"/>
              </w:rPr>
            </w:pPr>
            <w:r>
              <w:rPr>
                <w:rFonts w:hint="eastAsia" w:cs="等线"/>
                <w:sz w:val="18"/>
                <w:szCs w:val="18"/>
              </w:rPr>
              <w:t>总价</w:t>
            </w:r>
          </w:p>
        </w:tc>
        <w:tc>
          <w:tcPr>
            <w:tcW w:w="898" w:type="pct"/>
            <w:vAlign w:val="center"/>
          </w:tcPr>
          <w:p w14:paraId="59BD829B">
            <w:pPr>
              <w:jc w:val="center"/>
              <w:rPr>
                <w:rFonts w:hint="eastAsia" w:cs="等线"/>
                <w:sz w:val="18"/>
                <w:szCs w:val="18"/>
              </w:rPr>
            </w:pPr>
            <w:r>
              <w:rPr>
                <w:rFonts w:hint="eastAsia" w:cs="等线"/>
                <w:sz w:val="18"/>
                <w:szCs w:val="18"/>
              </w:rPr>
              <w:t>备注</w:t>
            </w:r>
          </w:p>
        </w:tc>
      </w:tr>
      <w:tr w14:paraId="6E2E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3F4B7759">
            <w:pPr>
              <w:jc w:val="center"/>
              <w:rPr>
                <w:rFonts w:hint="eastAsia" w:cs="等线"/>
                <w:sz w:val="18"/>
                <w:szCs w:val="18"/>
              </w:rPr>
            </w:pPr>
            <w:r>
              <w:rPr>
                <w:rFonts w:hint="eastAsia" w:cs="等线"/>
                <w:sz w:val="18"/>
                <w:szCs w:val="18"/>
              </w:rPr>
              <w:t>1</w:t>
            </w:r>
          </w:p>
        </w:tc>
        <w:tc>
          <w:tcPr>
            <w:tcW w:w="2137" w:type="pct"/>
            <w:vAlign w:val="center"/>
          </w:tcPr>
          <w:p w14:paraId="4FFEDB69">
            <w:pPr>
              <w:jc w:val="left"/>
              <w:rPr>
                <w:rFonts w:hint="eastAsia" w:cs="等线"/>
                <w:sz w:val="18"/>
                <w:szCs w:val="18"/>
              </w:rPr>
            </w:pPr>
            <w:r>
              <w:rPr>
                <w:rFonts w:hint="eastAsia" w:cs="等线"/>
                <w:sz w:val="18"/>
                <w:szCs w:val="18"/>
              </w:rPr>
              <w:t>铣刨、清除沥青层</w:t>
            </w:r>
          </w:p>
          <w:p w14:paraId="7EFCF0CE">
            <w:pPr>
              <w:jc w:val="left"/>
              <w:rPr>
                <w:rFonts w:hint="eastAsia" w:cs="等线"/>
                <w:sz w:val="18"/>
                <w:szCs w:val="18"/>
              </w:rPr>
            </w:pPr>
            <w:r>
              <w:rPr>
                <w:rFonts w:hint="eastAsia" w:cs="等线"/>
                <w:sz w:val="18"/>
                <w:szCs w:val="18"/>
              </w:rPr>
              <w:t>1.原沥青层14cm，铣刨深度：铣刨6cm</w:t>
            </w:r>
          </w:p>
        </w:tc>
        <w:tc>
          <w:tcPr>
            <w:tcW w:w="389" w:type="pct"/>
            <w:vAlign w:val="center"/>
          </w:tcPr>
          <w:p w14:paraId="4E9FDA4C">
            <w:pPr>
              <w:jc w:val="center"/>
              <w:rPr>
                <w:rFonts w:hint="eastAsia" w:cs="等线"/>
                <w:sz w:val="18"/>
                <w:szCs w:val="18"/>
              </w:rPr>
            </w:pPr>
            <w:r>
              <w:rPr>
                <w:rFonts w:hint="eastAsia" w:cs="等线"/>
                <w:sz w:val="18"/>
                <w:szCs w:val="18"/>
              </w:rPr>
              <w:t>m³</w:t>
            </w:r>
          </w:p>
        </w:tc>
        <w:tc>
          <w:tcPr>
            <w:tcW w:w="385" w:type="pct"/>
            <w:vAlign w:val="center"/>
          </w:tcPr>
          <w:p w14:paraId="19FC5AD5">
            <w:pPr>
              <w:jc w:val="center"/>
              <w:rPr>
                <w:rFonts w:hint="eastAsia" w:cs="等线"/>
                <w:sz w:val="18"/>
                <w:szCs w:val="18"/>
              </w:rPr>
            </w:pPr>
            <w:r>
              <w:rPr>
                <w:rFonts w:hint="eastAsia" w:cs="等线"/>
                <w:sz w:val="18"/>
                <w:szCs w:val="18"/>
              </w:rPr>
              <w:t>100</w:t>
            </w:r>
          </w:p>
        </w:tc>
        <w:tc>
          <w:tcPr>
            <w:tcW w:w="399" w:type="pct"/>
            <w:vAlign w:val="center"/>
          </w:tcPr>
          <w:p w14:paraId="51CE051E">
            <w:pPr>
              <w:jc w:val="center"/>
              <w:rPr>
                <w:rFonts w:hint="eastAsia" w:cs="等线"/>
                <w:sz w:val="18"/>
                <w:szCs w:val="18"/>
              </w:rPr>
            </w:pPr>
          </w:p>
        </w:tc>
        <w:tc>
          <w:tcPr>
            <w:tcW w:w="548" w:type="pct"/>
            <w:vAlign w:val="center"/>
          </w:tcPr>
          <w:p w14:paraId="18B5206D">
            <w:pPr>
              <w:jc w:val="center"/>
              <w:rPr>
                <w:rFonts w:hint="eastAsia" w:cs="等线"/>
                <w:sz w:val="18"/>
                <w:szCs w:val="18"/>
              </w:rPr>
            </w:pPr>
          </w:p>
        </w:tc>
        <w:tc>
          <w:tcPr>
            <w:tcW w:w="898" w:type="pct"/>
            <w:vAlign w:val="center"/>
          </w:tcPr>
          <w:p w14:paraId="10D8AA98">
            <w:pPr>
              <w:jc w:val="center"/>
              <w:rPr>
                <w:rFonts w:hint="eastAsia" w:cs="等线"/>
                <w:sz w:val="18"/>
                <w:szCs w:val="18"/>
              </w:rPr>
            </w:pPr>
            <w:r>
              <w:rPr>
                <w:rFonts w:hint="eastAsia" w:cs="等线"/>
                <w:sz w:val="18"/>
                <w:szCs w:val="18"/>
              </w:rPr>
              <w:t>乙方负责铣刨装车，甲方负责运输。</w:t>
            </w:r>
          </w:p>
        </w:tc>
      </w:tr>
      <w:tr w14:paraId="338E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C81F83C">
            <w:pPr>
              <w:jc w:val="center"/>
              <w:rPr>
                <w:rFonts w:hint="eastAsia" w:cs="等线"/>
                <w:sz w:val="18"/>
                <w:szCs w:val="18"/>
              </w:rPr>
            </w:pPr>
            <w:r>
              <w:rPr>
                <w:rFonts w:hint="eastAsia" w:cs="等线"/>
                <w:sz w:val="18"/>
                <w:szCs w:val="18"/>
              </w:rPr>
              <w:t>2</w:t>
            </w:r>
          </w:p>
        </w:tc>
        <w:tc>
          <w:tcPr>
            <w:tcW w:w="2137" w:type="pct"/>
            <w:vAlign w:val="center"/>
          </w:tcPr>
          <w:p w14:paraId="7A5D2419">
            <w:pPr>
              <w:jc w:val="left"/>
              <w:rPr>
                <w:rFonts w:hint="eastAsia" w:cs="等线"/>
                <w:sz w:val="18"/>
                <w:szCs w:val="18"/>
              </w:rPr>
            </w:pPr>
            <w:r>
              <w:rPr>
                <w:rFonts w:hint="eastAsia" w:cs="等线"/>
                <w:sz w:val="18"/>
                <w:szCs w:val="18"/>
              </w:rPr>
              <w:t>水泥稳定碎石基层18cm+18cm分层铺设</w:t>
            </w:r>
          </w:p>
          <w:p w14:paraId="40AC35C8">
            <w:pPr>
              <w:jc w:val="left"/>
              <w:rPr>
                <w:rFonts w:hint="eastAsia" w:cs="等线"/>
                <w:sz w:val="18"/>
                <w:szCs w:val="18"/>
              </w:rPr>
            </w:pPr>
            <w:r>
              <w:rPr>
                <w:rFonts w:hint="eastAsia" w:cs="等线"/>
                <w:sz w:val="18"/>
                <w:szCs w:val="18"/>
              </w:rPr>
              <w:t>1.水稳料（甲方提供）</w:t>
            </w:r>
          </w:p>
          <w:p w14:paraId="2CE4CCB2">
            <w:pPr>
              <w:jc w:val="left"/>
              <w:rPr>
                <w:rFonts w:hint="eastAsia" w:cs="等线"/>
                <w:sz w:val="18"/>
                <w:szCs w:val="18"/>
              </w:rPr>
            </w:pPr>
            <w:r>
              <w:rPr>
                <w:rFonts w:hint="eastAsia" w:cs="等线"/>
                <w:sz w:val="18"/>
                <w:szCs w:val="18"/>
              </w:rPr>
              <w:t>2.厚度36cm;</w:t>
            </w:r>
          </w:p>
          <w:p w14:paraId="3A79AFF9">
            <w:pPr>
              <w:jc w:val="left"/>
              <w:rPr>
                <w:rFonts w:hint="eastAsia" w:cs="等线"/>
                <w:sz w:val="18"/>
                <w:szCs w:val="18"/>
              </w:rPr>
            </w:pPr>
            <w:r>
              <w:rPr>
                <w:rFonts w:hint="eastAsia" w:cs="等线"/>
                <w:sz w:val="18"/>
                <w:szCs w:val="18"/>
              </w:rPr>
              <w:t>3.压实度≥97%;</w:t>
            </w:r>
          </w:p>
          <w:p w14:paraId="345EDFF1">
            <w:pPr>
              <w:jc w:val="left"/>
              <w:rPr>
                <w:rFonts w:hint="eastAsia" w:cs="等线"/>
                <w:sz w:val="18"/>
                <w:szCs w:val="18"/>
              </w:rPr>
            </w:pPr>
            <w:r>
              <w:rPr>
                <w:rFonts w:hint="eastAsia" w:cs="等线"/>
                <w:sz w:val="18"/>
                <w:szCs w:val="18"/>
              </w:rPr>
              <w:t>4.满铺玻纤格栅一层(拉力100KN)</w:t>
            </w:r>
          </w:p>
          <w:p w14:paraId="5FA6D73B">
            <w:pPr>
              <w:jc w:val="left"/>
              <w:rPr>
                <w:rFonts w:hint="eastAsia" w:cs="等线"/>
                <w:sz w:val="18"/>
                <w:szCs w:val="18"/>
              </w:rPr>
            </w:pPr>
            <w:r>
              <w:rPr>
                <w:rFonts w:hint="eastAsia" w:cs="等线"/>
                <w:sz w:val="18"/>
                <w:szCs w:val="18"/>
              </w:rPr>
              <w:t>5.其技术要求应符合《公路路面基层施工技术细则》(JTG/T F20一2015）相关规定；</w:t>
            </w:r>
          </w:p>
          <w:p w14:paraId="1BEC2327">
            <w:pPr>
              <w:jc w:val="left"/>
              <w:rPr>
                <w:rFonts w:hint="eastAsia" w:cs="等线"/>
                <w:sz w:val="18"/>
                <w:szCs w:val="18"/>
              </w:rPr>
            </w:pPr>
            <w:r>
              <w:rPr>
                <w:rFonts w:hint="eastAsia" w:cs="等线"/>
                <w:sz w:val="18"/>
                <w:szCs w:val="18"/>
              </w:rPr>
              <w:t>6.含</w:t>
            </w:r>
            <w:r>
              <w:rPr>
                <w:rFonts w:hint="eastAsia" w:cs="等线"/>
                <w:sz w:val="18"/>
                <w:szCs w:val="18"/>
                <w:lang w:val="en-US" w:eastAsia="zh-CN"/>
              </w:rPr>
              <w:t>第三方</w:t>
            </w:r>
            <w:r>
              <w:rPr>
                <w:rFonts w:hint="eastAsia" w:cs="等线"/>
                <w:sz w:val="18"/>
                <w:szCs w:val="18"/>
              </w:rPr>
              <w:t>检验试验费等</w:t>
            </w:r>
          </w:p>
        </w:tc>
        <w:tc>
          <w:tcPr>
            <w:tcW w:w="389" w:type="pct"/>
            <w:vAlign w:val="center"/>
          </w:tcPr>
          <w:p w14:paraId="63EEDCFA">
            <w:pPr>
              <w:jc w:val="center"/>
              <w:rPr>
                <w:rFonts w:hint="eastAsia" w:cs="等线"/>
                <w:sz w:val="18"/>
                <w:szCs w:val="18"/>
              </w:rPr>
            </w:pPr>
            <w:r>
              <w:rPr>
                <w:rFonts w:hint="eastAsia" w:cs="等线"/>
                <w:sz w:val="18"/>
                <w:szCs w:val="18"/>
              </w:rPr>
              <w:t>㎡</w:t>
            </w:r>
          </w:p>
        </w:tc>
        <w:tc>
          <w:tcPr>
            <w:tcW w:w="385" w:type="pct"/>
            <w:vAlign w:val="center"/>
          </w:tcPr>
          <w:p w14:paraId="661FDD30">
            <w:pPr>
              <w:jc w:val="center"/>
              <w:rPr>
                <w:rFonts w:hint="eastAsia" w:cs="等线"/>
                <w:sz w:val="18"/>
                <w:szCs w:val="18"/>
              </w:rPr>
            </w:pPr>
            <w:r>
              <w:rPr>
                <w:rFonts w:hint="eastAsia" w:cs="等线"/>
                <w:sz w:val="18"/>
                <w:szCs w:val="18"/>
              </w:rPr>
              <w:t>5400</w:t>
            </w:r>
          </w:p>
        </w:tc>
        <w:tc>
          <w:tcPr>
            <w:tcW w:w="399" w:type="pct"/>
            <w:vAlign w:val="center"/>
          </w:tcPr>
          <w:p w14:paraId="684BF442">
            <w:pPr>
              <w:jc w:val="center"/>
              <w:rPr>
                <w:rFonts w:hint="eastAsia" w:cs="等线"/>
                <w:sz w:val="18"/>
                <w:szCs w:val="18"/>
              </w:rPr>
            </w:pPr>
          </w:p>
        </w:tc>
        <w:tc>
          <w:tcPr>
            <w:tcW w:w="548" w:type="pct"/>
            <w:vAlign w:val="center"/>
          </w:tcPr>
          <w:p w14:paraId="74B22092">
            <w:pPr>
              <w:jc w:val="center"/>
              <w:rPr>
                <w:rFonts w:hint="eastAsia" w:cs="等线"/>
                <w:sz w:val="18"/>
                <w:szCs w:val="18"/>
              </w:rPr>
            </w:pPr>
          </w:p>
        </w:tc>
        <w:tc>
          <w:tcPr>
            <w:tcW w:w="898" w:type="pct"/>
            <w:vAlign w:val="center"/>
          </w:tcPr>
          <w:p w14:paraId="66D9F1E9">
            <w:pPr>
              <w:jc w:val="center"/>
              <w:rPr>
                <w:rFonts w:hint="eastAsia" w:cs="等线"/>
                <w:sz w:val="18"/>
                <w:szCs w:val="18"/>
              </w:rPr>
            </w:pPr>
            <w:r>
              <w:rPr>
                <w:rFonts w:hint="eastAsia" w:cs="等线"/>
                <w:sz w:val="18"/>
                <w:szCs w:val="18"/>
              </w:rPr>
              <w:t>甲方负责提供水稳料，并送到施工现场。乙方负责摊铺机、人工、压路机、玻纤格栅、保温覆盖（</w:t>
            </w:r>
            <w:r>
              <w:rPr>
                <w:rFonts w:hint="eastAsia" w:cs="等线"/>
                <w:sz w:val="18"/>
                <w:szCs w:val="18"/>
                <w:lang w:val="en-US" w:eastAsia="zh-CN"/>
              </w:rPr>
              <w:t>毛毡布</w:t>
            </w:r>
            <w:r>
              <w:rPr>
                <w:rFonts w:hint="eastAsia" w:cs="等线"/>
                <w:sz w:val="18"/>
                <w:szCs w:val="18"/>
              </w:rPr>
              <w:t>规格500g）、</w:t>
            </w:r>
            <w:r>
              <w:rPr>
                <w:rFonts w:hint="eastAsia" w:cs="等线"/>
                <w:sz w:val="18"/>
                <w:szCs w:val="18"/>
                <w:lang w:val="en-US" w:eastAsia="zh-CN"/>
              </w:rPr>
              <w:t>第三方</w:t>
            </w:r>
            <w:r>
              <w:rPr>
                <w:rFonts w:hint="eastAsia" w:cs="等线"/>
                <w:sz w:val="18"/>
                <w:szCs w:val="18"/>
              </w:rPr>
              <w:t>质量检验等工作。</w:t>
            </w:r>
          </w:p>
        </w:tc>
      </w:tr>
      <w:tr w14:paraId="2A0C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0B8B4625">
            <w:pPr>
              <w:jc w:val="center"/>
              <w:rPr>
                <w:rFonts w:hint="eastAsia" w:cs="等线"/>
                <w:sz w:val="18"/>
                <w:szCs w:val="18"/>
              </w:rPr>
            </w:pPr>
            <w:r>
              <w:rPr>
                <w:rFonts w:hint="eastAsia" w:cs="等线"/>
                <w:sz w:val="18"/>
                <w:szCs w:val="18"/>
              </w:rPr>
              <w:t>3</w:t>
            </w:r>
          </w:p>
        </w:tc>
        <w:tc>
          <w:tcPr>
            <w:tcW w:w="2137" w:type="pct"/>
            <w:vAlign w:val="center"/>
          </w:tcPr>
          <w:p w14:paraId="2CE5DF6F">
            <w:pPr>
              <w:jc w:val="left"/>
              <w:rPr>
                <w:rFonts w:hint="eastAsia" w:cs="等线"/>
                <w:sz w:val="18"/>
                <w:szCs w:val="18"/>
              </w:rPr>
            </w:pPr>
            <w:r>
              <w:rPr>
                <w:rFonts w:hint="eastAsia" w:cs="等线"/>
                <w:sz w:val="18"/>
                <w:szCs w:val="18"/>
              </w:rPr>
              <w:t>喷洒透层乳化沥青、封层乳化沥青</w:t>
            </w:r>
          </w:p>
          <w:p w14:paraId="60B6B027">
            <w:pPr>
              <w:jc w:val="left"/>
              <w:rPr>
                <w:rFonts w:hint="eastAsia" w:cs="等线"/>
                <w:sz w:val="18"/>
                <w:szCs w:val="18"/>
              </w:rPr>
            </w:pPr>
            <w:r>
              <w:rPr>
                <w:rFonts w:hint="eastAsia" w:cs="等线"/>
                <w:sz w:val="18"/>
                <w:szCs w:val="18"/>
              </w:rPr>
              <w:t>1. 型号：高渗透型乳化沥青</w:t>
            </w:r>
          </w:p>
          <w:p w14:paraId="3CCD140F">
            <w:pPr>
              <w:jc w:val="left"/>
              <w:rPr>
                <w:rFonts w:hint="eastAsia" w:cs="等线"/>
                <w:sz w:val="18"/>
                <w:szCs w:val="18"/>
              </w:rPr>
            </w:pPr>
            <w:r>
              <w:rPr>
                <w:rFonts w:hint="eastAsia" w:cs="等线"/>
                <w:sz w:val="18"/>
                <w:szCs w:val="18"/>
              </w:rPr>
              <w:t>2. 用量：高粘/高渗透型：0.8-1L/m²</w:t>
            </w:r>
          </w:p>
          <w:p w14:paraId="3F912806">
            <w:pPr>
              <w:jc w:val="left"/>
              <w:rPr>
                <w:rFonts w:hint="eastAsia" w:cs="等线"/>
                <w:sz w:val="18"/>
                <w:szCs w:val="18"/>
              </w:rPr>
            </w:pPr>
            <w:r>
              <w:rPr>
                <w:rFonts w:hint="eastAsia" w:cs="等线"/>
                <w:sz w:val="18"/>
                <w:szCs w:val="18"/>
              </w:rPr>
              <w:t>封层：</w:t>
            </w:r>
          </w:p>
        </w:tc>
        <w:tc>
          <w:tcPr>
            <w:tcW w:w="389" w:type="pct"/>
            <w:vAlign w:val="center"/>
          </w:tcPr>
          <w:p w14:paraId="54578062">
            <w:pPr>
              <w:jc w:val="center"/>
              <w:rPr>
                <w:rFonts w:hint="eastAsia" w:cs="等线"/>
                <w:sz w:val="18"/>
                <w:szCs w:val="18"/>
              </w:rPr>
            </w:pPr>
            <w:r>
              <w:rPr>
                <w:rFonts w:hint="eastAsia" w:cs="等线"/>
                <w:sz w:val="18"/>
                <w:szCs w:val="18"/>
              </w:rPr>
              <w:t>㎡</w:t>
            </w:r>
          </w:p>
        </w:tc>
        <w:tc>
          <w:tcPr>
            <w:tcW w:w="385" w:type="pct"/>
            <w:vAlign w:val="center"/>
          </w:tcPr>
          <w:p w14:paraId="2322232B">
            <w:pPr>
              <w:jc w:val="center"/>
              <w:rPr>
                <w:rFonts w:hint="eastAsia" w:cs="等线"/>
                <w:sz w:val="18"/>
                <w:szCs w:val="18"/>
              </w:rPr>
            </w:pPr>
            <w:r>
              <w:rPr>
                <w:rFonts w:hint="eastAsia" w:cs="等线"/>
                <w:sz w:val="18"/>
                <w:szCs w:val="18"/>
              </w:rPr>
              <w:t>6200</w:t>
            </w:r>
          </w:p>
        </w:tc>
        <w:tc>
          <w:tcPr>
            <w:tcW w:w="399" w:type="pct"/>
            <w:vAlign w:val="center"/>
          </w:tcPr>
          <w:p w14:paraId="28AC16A2">
            <w:pPr>
              <w:jc w:val="center"/>
              <w:rPr>
                <w:rFonts w:hint="eastAsia" w:cs="等线"/>
                <w:sz w:val="18"/>
                <w:szCs w:val="18"/>
              </w:rPr>
            </w:pPr>
          </w:p>
        </w:tc>
        <w:tc>
          <w:tcPr>
            <w:tcW w:w="548" w:type="pct"/>
            <w:vAlign w:val="center"/>
          </w:tcPr>
          <w:p w14:paraId="7C36AF3D">
            <w:pPr>
              <w:jc w:val="center"/>
              <w:rPr>
                <w:rFonts w:hint="eastAsia" w:cs="等线"/>
                <w:sz w:val="18"/>
                <w:szCs w:val="18"/>
              </w:rPr>
            </w:pPr>
          </w:p>
        </w:tc>
        <w:tc>
          <w:tcPr>
            <w:tcW w:w="898" w:type="pct"/>
            <w:vAlign w:val="center"/>
          </w:tcPr>
          <w:p w14:paraId="744F7464">
            <w:pPr>
              <w:jc w:val="center"/>
              <w:rPr>
                <w:rFonts w:hint="eastAsia" w:cs="等线"/>
                <w:sz w:val="18"/>
                <w:szCs w:val="18"/>
              </w:rPr>
            </w:pPr>
            <w:r>
              <w:rPr>
                <w:rFonts w:hint="eastAsia" w:cs="等线"/>
                <w:sz w:val="18"/>
                <w:szCs w:val="18"/>
              </w:rPr>
              <w:t>运输、施工、措施费综合考虑</w:t>
            </w:r>
          </w:p>
        </w:tc>
      </w:tr>
      <w:tr w14:paraId="0836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5E11A5D9">
            <w:pPr>
              <w:jc w:val="center"/>
              <w:rPr>
                <w:rFonts w:hint="eastAsia" w:cs="等线"/>
                <w:sz w:val="18"/>
                <w:szCs w:val="18"/>
              </w:rPr>
            </w:pPr>
            <w:r>
              <w:rPr>
                <w:rFonts w:hint="eastAsia" w:cs="等线"/>
                <w:sz w:val="18"/>
                <w:szCs w:val="18"/>
              </w:rPr>
              <w:t>4</w:t>
            </w:r>
          </w:p>
        </w:tc>
        <w:tc>
          <w:tcPr>
            <w:tcW w:w="2137" w:type="pct"/>
            <w:vAlign w:val="center"/>
          </w:tcPr>
          <w:p w14:paraId="16EB3DE9">
            <w:pPr>
              <w:jc w:val="left"/>
              <w:rPr>
                <w:rFonts w:hint="eastAsia" w:cs="等线"/>
                <w:sz w:val="18"/>
                <w:szCs w:val="18"/>
              </w:rPr>
            </w:pPr>
            <w:r>
              <w:rPr>
                <w:rFonts w:hint="eastAsia" w:cs="等线"/>
                <w:sz w:val="18"/>
                <w:szCs w:val="18"/>
              </w:rPr>
              <w:t>摊铺6cmSBS AC-20粗粒式沥青砼</w:t>
            </w:r>
          </w:p>
          <w:p w14:paraId="03CE1489">
            <w:pPr>
              <w:jc w:val="left"/>
              <w:rPr>
                <w:rFonts w:hint="eastAsia" w:cs="等线"/>
                <w:sz w:val="18"/>
                <w:szCs w:val="18"/>
              </w:rPr>
            </w:pPr>
            <w:r>
              <w:rPr>
                <w:rFonts w:hint="eastAsia" w:cs="等线"/>
                <w:sz w:val="18"/>
                <w:szCs w:val="18"/>
              </w:rPr>
              <w:t>1.材质：sbs改性沥青；AC-20中粒式沥青混凝土；</w:t>
            </w:r>
          </w:p>
          <w:p w14:paraId="2568BD1A">
            <w:pPr>
              <w:jc w:val="left"/>
              <w:rPr>
                <w:rFonts w:hint="eastAsia" w:cs="等线"/>
                <w:sz w:val="18"/>
                <w:szCs w:val="18"/>
              </w:rPr>
            </w:pPr>
            <w:r>
              <w:rPr>
                <w:rFonts w:hint="eastAsia" w:cs="等线"/>
                <w:sz w:val="18"/>
                <w:szCs w:val="18"/>
              </w:rPr>
              <w:t>2.设计厚度：6cm；</w:t>
            </w:r>
          </w:p>
          <w:p w14:paraId="1AE39861">
            <w:pPr>
              <w:jc w:val="left"/>
              <w:rPr>
                <w:rFonts w:hint="eastAsia" w:cs="等线"/>
                <w:sz w:val="18"/>
                <w:szCs w:val="18"/>
              </w:rPr>
            </w:pPr>
            <w:r>
              <w:rPr>
                <w:rFonts w:hint="eastAsia" w:cs="等线"/>
                <w:sz w:val="18"/>
                <w:szCs w:val="18"/>
              </w:rPr>
              <w:t>3.级配：AC-20型中粒式密级配沥青混凝土。其技术要求应严格控制在《公路沥青路面施工技术规范》（JTG F40）规定的AC-20范围内。</w:t>
            </w:r>
          </w:p>
          <w:p w14:paraId="4AB7F483">
            <w:pPr>
              <w:jc w:val="left"/>
              <w:rPr>
                <w:rFonts w:hint="eastAsia" w:cs="等线"/>
                <w:sz w:val="18"/>
                <w:szCs w:val="18"/>
              </w:rPr>
            </w:pPr>
            <w:r>
              <w:rPr>
                <w:rFonts w:hint="eastAsia" w:cs="等线"/>
                <w:sz w:val="18"/>
                <w:szCs w:val="18"/>
              </w:rPr>
              <w:t>4.含</w:t>
            </w:r>
            <w:r>
              <w:rPr>
                <w:rFonts w:hint="eastAsia" w:cs="等线"/>
                <w:sz w:val="18"/>
                <w:szCs w:val="18"/>
                <w:lang w:val="en-US" w:eastAsia="zh-CN"/>
              </w:rPr>
              <w:t>第三方</w:t>
            </w:r>
            <w:r>
              <w:rPr>
                <w:rFonts w:hint="eastAsia" w:cs="等线"/>
                <w:sz w:val="18"/>
                <w:szCs w:val="18"/>
              </w:rPr>
              <w:t>检验试验费等</w:t>
            </w:r>
          </w:p>
        </w:tc>
        <w:tc>
          <w:tcPr>
            <w:tcW w:w="389" w:type="pct"/>
            <w:vAlign w:val="center"/>
          </w:tcPr>
          <w:p w14:paraId="22098BF7">
            <w:pPr>
              <w:jc w:val="center"/>
              <w:rPr>
                <w:rFonts w:hint="eastAsia" w:cs="等线"/>
                <w:sz w:val="18"/>
                <w:szCs w:val="18"/>
              </w:rPr>
            </w:pPr>
            <w:r>
              <w:rPr>
                <w:rFonts w:hint="eastAsia" w:cs="等线"/>
                <w:sz w:val="18"/>
                <w:szCs w:val="18"/>
              </w:rPr>
              <w:t>㎡</w:t>
            </w:r>
          </w:p>
        </w:tc>
        <w:tc>
          <w:tcPr>
            <w:tcW w:w="385" w:type="pct"/>
            <w:vAlign w:val="center"/>
          </w:tcPr>
          <w:p w14:paraId="7F2B9752">
            <w:pPr>
              <w:jc w:val="center"/>
              <w:rPr>
                <w:rFonts w:hint="eastAsia" w:cs="等线"/>
                <w:sz w:val="18"/>
                <w:szCs w:val="18"/>
              </w:rPr>
            </w:pPr>
            <w:r>
              <w:rPr>
                <w:rFonts w:hint="eastAsia" w:cs="等线"/>
                <w:sz w:val="18"/>
                <w:szCs w:val="18"/>
              </w:rPr>
              <w:t>6200</w:t>
            </w:r>
          </w:p>
        </w:tc>
        <w:tc>
          <w:tcPr>
            <w:tcW w:w="399" w:type="pct"/>
            <w:vAlign w:val="center"/>
          </w:tcPr>
          <w:p w14:paraId="7268F8F6">
            <w:pPr>
              <w:jc w:val="center"/>
              <w:rPr>
                <w:rFonts w:hint="eastAsia" w:cs="等线"/>
                <w:sz w:val="18"/>
                <w:szCs w:val="18"/>
              </w:rPr>
            </w:pPr>
          </w:p>
        </w:tc>
        <w:tc>
          <w:tcPr>
            <w:tcW w:w="548" w:type="pct"/>
            <w:vAlign w:val="center"/>
          </w:tcPr>
          <w:p w14:paraId="158DAF77">
            <w:pPr>
              <w:jc w:val="center"/>
              <w:rPr>
                <w:rFonts w:hint="eastAsia" w:cs="等线"/>
                <w:sz w:val="18"/>
                <w:szCs w:val="18"/>
              </w:rPr>
            </w:pPr>
          </w:p>
        </w:tc>
        <w:tc>
          <w:tcPr>
            <w:tcW w:w="898" w:type="pct"/>
            <w:vAlign w:val="center"/>
          </w:tcPr>
          <w:p w14:paraId="59BF5A49">
            <w:pPr>
              <w:jc w:val="center"/>
              <w:rPr>
                <w:rFonts w:hint="eastAsia" w:cs="等线"/>
                <w:sz w:val="18"/>
                <w:szCs w:val="18"/>
              </w:rPr>
            </w:pPr>
            <w:r>
              <w:rPr>
                <w:rFonts w:hint="eastAsia" w:cs="等线"/>
                <w:sz w:val="18"/>
                <w:szCs w:val="18"/>
              </w:rPr>
              <w:t>运输、施工、措施费综合考虑</w:t>
            </w:r>
          </w:p>
        </w:tc>
      </w:tr>
      <w:tr w14:paraId="6A89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28D75D9A">
            <w:pPr>
              <w:jc w:val="center"/>
              <w:rPr>
                <w:rFonts w:hint="eastAsia" w:cs="等线"/>
                <w:sz w:val="18"/>
                <w:szCs w:val="18"/>
              </w:rPr>
            </w:pPr>
            <w:r>
              <w:rPr>
                <w:rFonts w:hint="eastAsia" w:cs="等线"/>
                <w:sz w:val="18"/>
                <w:szCs w:val="18"/>
              </w:rPr>
              <w:t>5</w:t>
            </w:r>
          </w:p>
        </w:tc>
        <w:tc>
          <w:tcPr>
            <w:tcW w:w="2137" w:type="pct"/>
            <w:vAlign w:val="center"/>
          </w:tcPr>
          <w:p w14:paraId="633D5F41">
            <w:pPr>
              <w:jc w:val="left"/>
              <w:rPr>
                <w:rFonts w:hint="eastAsia" w:cs="等线"/>
                <w:sz w:val="18"/>
                <w:szCs w:val="18"/>
              </w:rPr>
            </w:pPr>
            <w:r>
              <w:rPr>
                <w:rFonts w:hint="eastAsia" w:cs="等线"/>
                <w:sz w:val="18"/>
                <w:szCs w:val="18"/>
              </w:rPr>
              <w:t>喷洒粘层乳化沥青</w:t>
            </w:r>
          </w:p>
          <w:p w14:paraId="07A288D3">
            <w:pPr>
              <w:jc w:val="left"/>
              <w:rPr>
                <w:rFonts w:hint="eastAsia" w:cs="等线"/>
                <w:sz w:val="18"/>
                <w:szCs w:val="18"/>
              </w:rPr>
            </w:pPr>
            <w:r>
              <w:rPr>
                <w:rFonts w:hint="eastAsia" w:cs="等线"/>
                <w:sz w:val="18"/>
                <w:szCs w:val="18"/>
              </w:rPr>
              <w:t>1. SBS改性乳化沥青</w:t>
            </w:r>
          </w:p>
          <w:p w14:paraId="3ED64162">
            <w:pPr>
              <w:jc w:val="left"/>
              <w:rPr>
                <w:rFonts w:hint="eastAsia" w:cs="等线"/>
                <w:sz w:val="18"/>
                <w:szCs w:val="18"/>
              </w:rPr>
            </w:pPr>
            <w:r>
              <w:rPr>
                <w:rFonts w:hint="eastAsia" w:cs="等线"/>
                <w:sz w:val="18"/>
                <w:szCs w:val="18"/>
              </w:rPr>
              <w:t>2. 用量：0.3-0.5 L/m²</w:t>
            </w:r>
          </w:p>
        </w:tc>
        <w:tc>
          <w:tcPr>
            <w:tcW w:w="389" w:type="pct"/>
            <w:vAlign w:val="center"/>
          </w:tcPr>
          <w:p w14:paraId="1151320C">
            <w:pPr>
              <w:jc w:val="center"/>
              <w:rPr>
                <w:rFonts w:hint="eastAsia" w:cs="等线"/>
                <w:sz w:val="18"/>
                <w:szCs w:val="18"/>
              </w:rPr>
            </w:pPr>
            <w:r>
              <w:rPr>
                <w:rFonts w:hint="eastAsia" w:cs="等线"/>
                <w:sz w:val="18"/>
                <w:szCs w:val="18"/>
              </w:rPr>
              <w:t>㎡</w:t>
            </w:r>
          </w:p>
        </w:tc>
        <w:tc>
          <w:tcPr>
            <w:tcW w:w="385" w:type="pct"/>
            <w:vAlign w:val="center"/>
          </w:tcPr>
          <w:p w14:paraId="4B05D089">
            <w:pPr>
              <w:jc w:val="center"/>
              <w:rPr>
                <w:rFonts w:hint="eastAsia" w:cs="等线"/>
                <w:sz w:val="18"/>
                <w:szCs w:val="18"/>
              </w:rPr>
            </w:pPr>
            <w:r>
              <w:rPr>
                <w:rFonts w:hint="eastAsia" w:cs="等线"/>
                <w:sz w:val="18"/>
                <w:szCs w:val="18"/>
              </w:rPr>
              <w:t>6200</w:t>
            </w:r>
          </w:p>
        </w:tc>
        <w:tc>
          <w:tcPr>
            <w:tcW w:w="399" w:type="pct"/>
            <w:vAlign w:val="center"/>
          </w:tcPr>
          <w:p w14:paraId="6241AFEC">
            <w:pPr>
              <w:jc w:val="center"/>
              <w:rPr>
                <w:rFonts w:hint="eastAsia" w:cs="等线"/>
                <w:sz w:val="18"/>
                <w:szCs w:val="18"/>
              </w:rPr>
            </w:pPr>
          </w:p>
        </w:tc>
        <w:tc>
          <w:tcPr>
            <w:tcW w:w="548" w:type="pct"/>
            <w:vAlign w:val="center"/>
          </w:tcPr>
          <w:p w14:paraId="0D9FE16C">
            <w:pPr>
              <w:jc w:val="center"/>
              <w:rPr>
                <w:rFonts w:hint="eastAsia" w:cs="等线"/>
                <w:sz w:val="18"/>
                <w:szCs w:val="18"/>
              </w:rPr>
            </w:pPr>
          </w:p>
        </w:tc>
        <w:tc>
          <w:tcPr>
            <w:tcW w:w="898" w:type="pct"/>
            <w:vAlign w:val="center"/>
          </w:tcPr>
          <w:p w14:paraId="5CE9C1A7">
            <w:pPr>
              <w:jc w:val="center"/>
              <w:rPr>
                <w:rFonts w:hint="eastAsia" w:cs="等线"/>
                <w:sz w:val="18"/>
                <w:szCs w:val="18"/>
              </w:rPr>
            </w:pPr>
            <w:r>
              <w:rPr>
                <w:rFonts w:hint="eastAsia" w:cs="等线"/>
                <w:sz w:val="18"/>
                <w:szCs w:val="18"/>
              </w:rPr>
              <w:t>运输、施工、措施费综合考虑</w:t>
            </w:r>
          </w:p>
        </w:tc>
      </w:tr>
      <w:tr w14:paraId="17CE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74A43D52">
            <w:pPr>
              <w:jc w:val="center"/>
              <w:rPr>
                <w:rFonts w:hint="eastAsia" w:cs="等线"/>
                <w:sz w:val="18"/>
                <w:szCs w:val="18"/>
              </w:rPr>
            </w:pPr>
            <w:r>
              <w:rPr>
                <w:rFonts w:hint="eastAsia" w:cs="等线"/>
                <w:sz w:val="18"/>
                <w:szCs w:val="18"/>
              </w:rPr>
              <w:t>6</w:t>
            </w:r>
          </w:p>
        </w:tc>
        <w:tc>
          <w:tcPr>
            <w:tcW w:w="2137" w:type="pct"/>
            <w:vAlign w:val="center"/>
          </w:tcPr>
          <w:p w14:paraId="5D539156">
            <w:pPr>
              <w:jc w:val="left"/>
              <w:rPr>
                <w:rFonts w:hint="eastAsia" w:cs="等线"/>
                <w:sz w:val="18"/>
                <w:szCs w:val="18"/>
              </w:rPr>
            </w:pPr>
            <w:r>
              <w:rPr>
                <w:rFonts w:hint="eastAsia" w:cs="等线"/>
                <w:sz w:val="18"/>
                <w:szCs w:val="18"/>
              </w:rPr>
              <w:t>摊铺6cmSMA 13细粒式沥青砼（玄武岩石料）。</w:t>
            </w:r>
          </w:p>
          <w:p w14:paraId="33F03A14">
            <w:pPr>
              <w:jc w:val="left"/>
              <w:rPr>
                <w:rFonts w:hint="eastAsia" w:cs="等线"/>
                <w:sz w:val="18"/>
                <w:szCs w:val="18"/>
              </w:rPr>
            </w:pPr>
            <w:r>
              <w:rPr>
                <w:rFonts w:hint="eastAsia" w:cs="等线"/>
                <w:sz w:val="18"/>
                <w:szCs w:val="18"/>
              </w:rPr>
              <w:t>1.材质：沥青玛蹄脂碎石混合料；13细粒式沥青混凝土；粗集料：采用玄武岩碎石，石料应坚硬、洁净、干燥、表面粗糙，其压碎值、磨光值、粘附性等指标须符合规范要求。</w:t>
            </w:r>
          </w:p>
          <w:p w14:paraId="7E3C2496">
            <w:pPr>
              <w:jc w:val="left"/>
              <w:rPr>
                <w:rFonts w:hint="eastAsia" w:cs="等线"/>
                <w:sz w:val="18"/>
                <w:szCs w:val="18"/>
              </w:rPr>
            </w:pPr>
            <w:r>
              <w:rPr>
                <w:rFonts w:hint="eastAsia" w:cs="等线"/>
                <w:sz w:val="18"/>
                <w:szCs w:val="18"/>
              </w:rPr>
              <w:t>细集料：采用坚硬、洁净、干燥的玄武岩机制砂或石屑，由玄武岩碎石轧制而成，具有良好的棱角性。</w:t>
            </w:r>
          </w:p>
          <w:p w14:paraId="5B3640A3">
            <w:pPr>
              <w:jc w:val="left"/>
              <w:rPr>
                <w:rFonts w:hint="eastAsia" w:cs="等线"/>
                <w:sz w:val="18"/>
                <w:szCs w:val="18"/>
              </w:rPr>
            </w:pPr>
            <w:r>
              <w:rPr>
                <w:rFonts w:hint="eastAsia" w:cs="等线"/>
                <w:sz w:val="18"/>
                <w:szCs w:val="18"/>
              </w:rPr>
              <w:t>2.设计厚度：6cm；</w:t>
            </w:r>
          </w:p>
          <w:p w14:paraId="041EA335">
            <w:pPr>
              <w:jc w:val="left"/>
              <w:rPr>
                <w:rFonts w:hint="eastAsia" w:cs="等线"/>
                <w:sz w:val="18"/>
                <w:szCs w:val="18"/>
              </w:rPr>
            </w:pPr>
            <w:r>
              <w:rPr>
                <w:rFonts w:hint="eastAsia" w:cs="等线"/>
                <w:sz w:val="18"/>
                <w:szCs w:val="18"/>
              </w:rPr>
              <w:t>3.级配：6cmSMA 13细粒式沥青砼。其技术要求应严格控制在《公路沥青路面施工技术规范》（JTG F40）规定的范围内。</w:t>
            </w:r>
          </w:p>
          <w:p w14:paraId="3D9D64DD">
            <w:pPr>
              <w:jc w:val="left"/>
              <w:rPr>
                <w:rFonts w:hint="eastAsia" w:cs="等线"/>
                <w:sz w:val="18"/>
                <w:szCs w:val="18"/>
              </w:rPr>
            </w:pPr>
            <w:r>
              <w:rPr>
                <w:rFonts w:hint="eastAsia" w:cs="等线"/>
                <w:sz w:val="18"/>
                <w:szCs w:val="18"/>
              </w:rPr>
              <w:t>4.含</w:t>
            </w:r>
            <w:r>
              <w:rPr>
                <w:rFonts w:hint="eastAsia" w:cs="等线"/>
                <w:sz w:val="18"/>
                <w:szCs w:val="18"/>
                <w:lang w:val="en-US" w:eastAsia="zh-CN"/>
              </w:rPr>
              <w:t>第三方</w:t>
            </w:r>
            <w:r>
              <w:rPr>
                <w:rFonts w:hint="eastAsia" w:cs="等线"/>
                <w:sz w:val="18"/>
                <w:szCs w:val="18"/>
              </w:rPr>
              <w:t>检验试验费等</w:t>
            </w:r>
          </w:p>
        </w:tc>
        <w:tc>
          <w:tcPr>
            <w:tcW w:w="389" w:type="pct"/>
            <w:vAlign w:val="center"/>
          </w:tcPr>
          <w:p w14:paraId="23510574">
            <w:pPr>
              <w:jc w:val="center"/>
              <w:rPr>
                <w:rFonts w:hint="eastAsia" w:cs="等线"/>
                <w:sz w:val="18"/>
                <w:szCs w:val="18"/>
              </w:rPr>
            </w:pPr>
            <w:r>
              <w:rPr>
                <w:rFonts w:hint="eastAsia" w:cs="等线"/>
                <w:sz w:val="18"/>
                <w:szCs w:val="18"/>
              </w:rPr>
              <w:t>㎡</w:t>
            </w:r>
          </w:p>
        </w:tc>
        <w:tc>
          <w:tcPr>
            <w:tcW w:w="385" w:type="pct"/>
            <w:vAlign w:val="center"/>
          </w:tcPr>
          <w:p w14:paraId="38824F4C">
            <w:pPr>
              <w:jc w:val="center"/>
              <w:rPr>
                <w:rFonts w:hint="eastAsia" w:cs="等线"/>
                <w:sz w:val="18"/>
                <w:szCs w:val="18"/>
              </w:rPr>
            </w:pPr>
            <w:r>
              <w:rPr>
                <w:rFonts w:hint="eastAsia" w:cs="等线"/>
                <w:sz w:val="18"/>
                <w:szCs w:val="18"/>
              </w:rPr>
              <w:t>6200</w:t>
            </w:r>
          </w:p>
        </w:tc>
        <w:tc>
          <w:tcPr>
            <w:tcW w:w="399" w:type="pct"/>
            <w:vAlign w:val="center"/>
          </w:tcPr>
          <w:p w14:paraId="60653FCF">
            <w:pPr>
              <w:jc w:val="center"/>
              <w:rPr>
                <w:rFonts w:hint="eastAsia" w:cs="等线"/>
                <w:sz w:val="18"/>
                <w:szCs w:val="18"/>
              </w:rPr>
            </w:pPr>
          </w:p>
        </w:tc>
        <w:tc>
          <w:tcPr>
            <w:tcW w:w="548" w:type="pct"/>
            <w:vAlign w:val="center"/>
          </w:tcPr>
          <w:p w14:paraId="27E35382">
            <w:pPr>
              <w:jc w:val="center"/>
              <w:rPr>
                <w:rFonts w:hint="eastAsia" w:cs="等线"/>
                <w:sz w:val="18"/>
                <w:szCs w:val="18"/>
              </w:rPr>
            </w:pPr>
          </w:p>
        </w:tc>
        <w:tc>
          <w:tcPr>
            <w:tcW w:w="898" w:type="pct"/>
            <w:vAlign w:val="center"/>
          </w:tcPr>
          <w:p w14:paraId="74F8762E">
            <w:pPr>
              <w:jc w:val="center"/>
              <w:rPr>
                <w:rFonts w:hint="eastAsia" w:cs="等线"/>
                <w:sz w:val="18"/>
                <w:szCs w:val="18"/>
              </w:rPr>
            </w:pPr>
            <w:r>
              <w:rPr>
                <w:rFonts w:hint="eastAsia" w:cs="等线"/>
                <w:sz w:val="18"/>
                <w:szCs w:val="18"/>
              </w:rPr>
              <w:t>运输、施工、措施费综合考虑</w:t>
            </w:r>
          </w:p>
        </w:tc>
      </w:tr>
      <w:tr w14:paraId="6C4E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243" w:type="pct"/>
            <w:vAlign w:val="center"/>
          </w:tcPr>
          <w:p w14:paraId="5BAC5984">
            <w:pPr>
              <w:jc w:val="center"/>
              <w:rPr>
                <w:rFonts w:hint="eastAsia" w:cs="等线"/>
                <w:sz w:val="18"/>
                <w:szCs w:val="18"/>
              </w:rPr>
            </w:pPr>
            <w:r>
              <w:rPr>
                <w:rFonts w:hint="eastAsia" w:cs="等线"/>
                <w:sz w:val="18"/>
                <w:szCs w:val="18"/>
              </w:rPr>
              <w:t>7</w:t>
            </w:r>
          </w:p>
        </w:tc>
        <w:tc>
          <w:tcPr>
            <w:tcW w:w="2137" w:type="pct"/>
            <w:vAlign w:val="center"/>
          </w:tcPr>
          <w:p w14:paraId="5DD57B73">
            <w:pPr>
              <w:jc w:val="left"/>
              <w:rPr>
                <w:rFonts w:hint="eastAsia" w:cs="等线"/>
                <w:sz w:val="18"/>
                <w:szCs w:val="18"/>
              </w:rPr>
            </w:pPr>
            <w:r>
              <w:rPr>
                <w:rFonts w:hint="eastAsia" w:cs="等线"/>
                <w:sz w:val="18"/>
                <w:szCs w:val="18"/>
              </w:rPr>
              <w:t>暂列金</w:t>
            </w:r>
          </w:p>
        </w:tc>
        <w:tc>
          <w:tcPr>
            <w:tcW w:w="389" w:type="pct"/>
            <w:vAlign w:val="center"/>
          </w:tcPr>
          <w:p w14:paraId="7C16832B">
            <w:pPr>
              <w:jc w:val="center"/>
              <w:rPr>
                <w:rFonts w:hint="eastAsia" w:cs="等线"/>
                <w:sz w:val="18"/>
                <w:szCs w:val="18"/>
              </w:rPr>
            </w:pPr>
            <w:r>
              <w:rPr>
                <w:rFonts w:hint="eastAsia" w:cs="等线"/>
                <w:sz w:val="18"/>
                <w:szCs w:val="18"/>
              </w:rPr>
              <w:t>元</w:t>
            </w:r>
          </w:p>
        </w:tc>
        <w:tc>
          <w:tcPr>
            <w:tcW w:w="385" w:type="pct"/>
            <w:vAlign w:val="center"/>
          </w:tcPr>
          <w:p w14:paraId="3771DFB3">
            <w:pPr>
              <w:jc w:val="center"/>
              <w:rPr>
                <w:rFonts w:hint="eastAsia" w:cs="等线"/>
                <w:sz w:val="18"/>
                <w:szCs w:val="18"/>
              </w:rPr>
            </w:pPr>
          </w:p>
        </w:tc>
        <w:tc>
          <w:tcPr>
            <w:tcW w:w="399" w:type="pct"/>
            <w:vAlign w:val="center"/>
          </w:tcPr>
          <w:p w14:paraId="5E1D4587">
            <w:pPr>
              <w:jc w:val="center"/>
              <w:rPr>
                <w:rFonts w:hint="eastAsia" w:cs="等线"/>
                <w:sz w:val="18"/>
                <w:szCs w:val="18"/>
              </w:rPr>
            </w:pPr>
          </w:p>
        </w:tc>
        <w:tc>
          <w:tcPr>
            <w:tcW w:w="548" w:type="pct"/>
            <w:vAlign w:val="center"/>
          </w:tcPr>
          <w:p w14:paraId="0D34E9F8">
            <w:pPr>
              <w:jc w:val="center"/>
              <w:rPr>
                <w:rFonts w:hint="eastAsia" w:cs="等线"/>
                <w:sz w:val="18"/>
                <w:szCs w:val="18"/>
              </w:rPr>
            </w:pPr>
            <w:r>
              <w:rPr>
                <w:rFonts w:hint="eastAsia" w:cs="等线"/>
                <w:sz w:val="18"/>
                <w:szCs w:val="18"/>
              </w:rPr>
              <w:t>50000</w:t>
            </w:r>
          </w:p>
        </w:tc>
        <w:tc>
          <w:tcPr>
            <w:tcW w:w="898" w:type="pct"/>
            <w:vAlign w:val="center"/>
          </w:tcPr>
          <w:p w14:paraId="378588B1">
            <w:pPr>
              <w:jc w:val="center"/>
              <w:rPr>
                <w:rFonts w:hint="eastAsia" w:cs="等线"/>
                <w:sz w:val="18"/>
                <w:szCs w:val="18"/>
              </w:rPr>
            </w:pPr>
            <w:r>
              <w:rPr>
                <w:rFonts w:hint="eastAsia" w:cs="等线"/>
                <w:sz w:val="18"/>
                <w:szCs w:val="18"/>
              </w:rPr>
              <w:t>暂列金额按照工程量清单中列出的金额填写，不能通过修改此项报价来竞争。</w:t>
            </w:r>
          </w:p>
        </w:tc>
      </w:tr>
      <w:tr w14:paraId="1541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43" w:type="pct"/>
            <w:vAlign w:val="center"/>
          </w:tcPr>
          <w:p w14:paraId="0DD1F35B">
            <w:pPr>
              <w:jc w:val="center"/>
              <w:rPr>
                <w:rFonts w:hint="eastAsia" w:cs="等线"/>
                <w:sz w:val="18"/>
                <w:szCs w:val="18"/>
              </w:rPr>
            </w:pPr>
            <w:r>
              <w:rPr>
                <w:rFonts w:hint="eastAsia" w:cs="等线"/>
                <w:sz w:val="18"/>
                <w:szCs w:val="18"/>
              </w:rPr>
              <w:t>8</w:t>
            </w:r>
          </w:p>
        </w:tc>
        <w:tc>
          <w:tcPr>
            <w:tcW w:w="2137" w:type="pct"/>
            <w:vAlign w:val="center"/>
          </w:tcPr>
          <w:p w14:paraId="6015753B">
            <w:pPr>
              <w:jc w:val="center"/>
              <w:rPr>
                <w:rFonts w:hint="eastAsia" w:cs="等线"/>
                <w:sz w:val="18"/>
                <w:szCs w:val="18"/>
              </w:rPr>
            </w:pPr>
            <w:r>
              <w:rPr>
                <w:rFonts w:hint="eastAsia" w:cs="等线"/>
                <w:sz w:val="18"/>
                <w:szCs w:val="18"/>
              </w:rPr>
              <w:t>合计</w:t>
            </w:r>
          </w:p>
        </w:tc>
        <w:tc>
          <w:tcPr>
            <w:tcW w:w="389" w:type="pct"/>
            <w:vAlign w:val="center"/>
          </w:tcPr>
          <w:p w14:paraId="0A472257">
            <w:pPr>
              <w:jc w:val="center"/>
              <w:rPr>
                <w:rFonts w:hint="eastAsia" w:cs="等线"/>
                <w:sz w:val="18"/>
                <w:szCs w:val="18"/>
              </w:rPr>
            </w:pPr>
          </w:p>
        </w:tc>
        <w:tc>
          <w:tcPr>
            <w:tcW w:w="385" w:type="pct"/>
            <w:vAlign w:val="center"/>
          </w:tcPr>
          <w:p w14:paraId="2D5B51A6">
            <w:pPr>
              <w:jc w:val="center"/>
              <w:rPr>
                <w:rFonts w:hint="eastAsia" w:cs="等线"/>
                <w:sz w:val="18"/>
                <w:szCs w:val="18"/>
              </w:rPr>
            </w:pPr>
          </w:p>
        </w:tc>
        <w:tc>
          <w:tcPr>
            <w:tcW w:w="399" w:type="pct"/>
            <w:vAlign w:val="center"/>
          </w:tcPr>
          <w:p w14:paraId="3C9E69B6">
            <w:pPr>
              <w:jc w:val="center"/>
              <w:rPr>
                <w:rFonts w:hint="eastAsia" w:cs="等线"/>
                <w:sz w:val="18"/>
                <w:szCs w:val="18"/>
              </w:rPr>
            </w:pPr>
          </w:p>
        </w:tc>
        <w:tc>
          <w:tcPr>
            <w:tcW w:w="548" w:type="pct"/>
            <w:vAlign w:val="center"/>
          </w:tcPr>
          <w:p w14:paraId="0BB1E54F">
            <w:pPr>
              <w:jc w:val="center"/>
              <w:rPr>
                <w:rFonts w:hint="eastAsia" w:cs="等线"/>
                <w:sz w:val="18"/>
                <w:szCs w:val="18"/>
              </w:rPr>
            </w:pPr>
          </w:p>
        </w:tc>
        <w:tc>
          <w:tcPr>
            <w:tcW w:w="898" w:type="pct"/>
            <w:vAlign w:val="center"/>
          </w:tcPr>
          <w:p w14:paraId="4485E691">
            <w:pPr>
              <w:jc w:val="center"/>
              <w:rPr>
                <w:rFonts w:hint="eastAsia" w:cs="等线"/>
                <w:sz w:val="18"/>
                <w:szCs w:val="18"/>
              </w:rPr>
            </w:pPr>
          </w:p>
        </w:tc>
      </w:tr>
    </w:tbl>
    <w:p w14:paraId="1C347B28">
      <w:pPr>
        <w:spacing w:line="300" w:lineRule="auto"/>
        <w:jc w:val="center"/>
        <w:rPr>
          <w:rFonts w:ascii="Times New Roman" w:hAnsi="Times New Roman" w:eastAsia="黑体"/>
          <w:b/>
          <w:color w:val="000000"/>
          <w:sz w:val="32"/>
          <w:szCs w:val="32"/>
        </w:rPr>
      </w:pPr>
    </w:p>
    <w:p w14:paraId="65C6E3FD">
      <w:pPr>
        <w:rPr>
          <w:rFonts w:hint="eastAsia"/>
        </w:rPr>
      </w:pPr>
      <w:r>
        <w:rPr>
          <w:rFonts w:hint="eastAsia"/>
        </w:rPr>
        <w:br w:type="page"/>
      </w:r>
    </w:p>
    <w:p w14:paraId="796EBADF">
      <w:pPr>
        <w:rPr>
          <w:rFonts w:hint="eastAsia"/>
        </w:rPr>
      </w:pPr>
    </w:p>
    <w:p w14:paraId="21A1742D">
      <w:pPr>
        <w:spacing w:line="300" w:lineRule="auto"/>
        <w:jc w:val="center"/>
        <w:rPr>
          <w:rFonts w:ascii="Times New Roman" w:hAnsi="Times New Roman" w:eastAsia="仿宋_GB2312"/>
          <w:bCs/>
          <w:color w:val="000000"/>
          <w:sz w:val="28"/>
          <w:szCs w:val="28"/>
        </w:rPr>
      </w:pPr>
      <w:r>
        <w:rPr>
          <w:rFonts w:hint="eastAsia" w:ascii="Times New Roman" w:hAnsi="Times New Roman" w:eastAsia="黑体"/>
          <w:b/>
          <w:color w:val="000000"/>
          <w:sz w:val="32"/>
          <w:szCs w:val="32"/>
        </w:rPr>
        <w:t>附件二 工程质量保修书</w:t>
      </w:r>
    </w:p>
    <w:p w14:paraId="389279DF">
      <w:pPr>
        <w:spacing w:line="300" w:lineRule="auto"/>
        <w:rPr>
          <w:rFonts w:ascii="Times New Roman" w:hAnsi="Times New Roman"/>
          <w:bCs/>
          <w:color w:val="000000"/>
        </w:rPr>
      </w:pPr>
      <w:r>
        <w:rPr>
          <w:rFonts w:hint="eastAsia" w:ascii="Times New Roman" w:hAnsi="Times New Roman"/>
          <w:bCs/>
          <w:color w:val="000000"/>
        </w:rPr>
        <w:t>发包人</w:t>
      </w:r>
      <w:r>
        <w:rPr>
          <w:rFonts w:ascii="Times New Roman" w:hAnsi="Times New Roman"/>
          <w:bCs/>
          <w:color w:val="000000"/>
        </w:rPr>
        <w:t>(</w:t>
      </w:r>
      <w:r>
        <w:rPr>
          <w:rFonts w:hint="eastAsia" w:ascii="Times New Roman" w:hAnsi="Times New Roman"/>
          <w:bCs/>
          <w:color w:val="000000"/>
        </w:rPr>
        <w:t>全称</w:t>
      </w:r>
      <w:r>
        <w:rPr>
          <w:rFonts w:ascii="Times New Roman" w:hAnsi="Times New Roman"/>
          <w:bCs/>
          <w:color w:val="000000"/>
        </w:rPr>
        <w:t>)</w:t>
      </w:r>
      <w:r>
        <w:rPr>
          <w:rFonts w:hint="eastAsia" w:ascii="Times New Roman" w:hAnsi="Times New Roman"/>
          <w:bCs/>
          <w:color w:val="000000"/>
        </w:rPr>
        <w:t>：济南黄河爆破工程有限责任公司</w:t>
      </w:r>
    </w:p>
    <w:p w14:paraId="7FB75447">
      <w:pPr>
        <w:spacing w:line="300" w:lineRule="auto"/>
        <w:rPr>
          <w:rFonts w:ascii="Times New Roman" w:hAnsi="Times New Roman"/>
          <w:bCs/>
          <w:color w:val="000000"/>
        </w:rPr>
      </w:pPr>
      <w:r>
        <w:rPr>
          <w:rFonts w:hint="eastAsia" w:ascii="Times New Roman" w:hAnsi="Times New Roman"/>
          <w:bCs/>
          <w:color w:val="000000"/>
        </w:rPr>
        <w:t>承包人</w:t>
      </w:r>
      <w:r>
        <w:rPr>
          <w:rFonts w:ascii="Times New Roman" w:hAnsi="Times New Roman"/>
          <w:bCs/>
          <w:color w:val="000000"/>
        </w:rPr>
        <w:t>(</w:t>
      </w:r>
      <w:r>
        <w:rPr>
          <w:rFonts w:hint="eastAsia" w:ascii="Times New Roman" w:hAnsi="Times New Roman"/>
          <w:bCs/>
          <w:color w:val="000000"/>
        </w:rPr>
        <w:t>全称</w:t>
      </w:r>
      <w:r>
        <w:rPr>
          <w:rFonts w:ascii="Times New Roman" w:hAnsi="Times New Roman"/>
          <w:bCs/>
          <w:color w:val="000000"/>
        </w:rPr>
        <w:t>)</w:t>
      </w:r>
      <w:r>
        <w:rPr>
          <w:rFonts w:hint="eastAsia" w:ascii="Times New Roman" w:hAnsi="Times New Roman"/>
          <w:bCs/>
          <w:color w:val="000000"/>
        </w:rPr>
        <w:t>：</w:t>
      </w:r>
      <w:r>
        <w:rPr>
          <w:rFonts w:hint="eastAsia" w:ascii="Times New Roman" w:hAnsi="Times New Roman"/>
          <w:bCs/>
        </w:rPr>
        <w:t xml:space="preserve"> </w:t>
      </w:r>
    </w:p>
    <w:p w14:paraId="372932F0">
      <w:pPr>
        <w:spacing w:line="300" w:lineRule="auto"/>
        <w:ind w:firstLine="411" w:firstLineChars="196"/>
        <w:rPr>
          <w:rFonts w:ascii="Times New Roman" w:hAnsi="Times New Roman"/>
          <w:bCs/>
          <w:color w:val="000000"/>
        </w:rPr>
      </w:pPr>
      <w:r>
        <w:rPr>
          <w:rFonts w:hint="eastAsia" w:ascii="Times New Roman" w:hAnsi="Times New Roman"/>
          <w:bCs/>
          <w:color w:val="000000"/>
        </w:rPr>
        <w:t>发包人、承包人根据《中华人民共和国建筑法》、《建设工程质量管理条例》和《房屋建筑工程质量保修办法》，经协商一致，对</w:t>
      </w:r>
      <w:r>
        <w:rPr>
          <w:rFonts w:hint="eastAsia" w:ascii="Times New Roman" w:hAnsi="Times New Roman"/>
          <w:bCs/>
          <w:u w:val="single"/>
        </w:rPr>
        <w:t xml:space="preserve">              </w:t>
      </w:r>
      <w:r>
        <w:rPr>
          <w:rFonts w:hint="eastAsia" w:ascii="Times New Roman" w:hAnsi="Times New Roman"/>
          <w:bCs/>
        </w:rPr>
        <w:t xml:space="preserve"> </w:t>
      </w:r>
      <w:r>
        <w:rPr>
          <w:rFonts w:hint="eastAsia" w:ascii="Times New Roman" w:hAnsi="Times New Roman"/>
          <w:bCs/>
          <w:color w:val="000000"/>
        </w:rPr>
        <w:t>（工程名称）签订工程质量保修书。</w:t>
      </w:r>
    </w:p>
    <w:p w14:paraId="4293E081">
      <w:pPr>
        <w:spacing w:line="300" w:lineRule="auto"/>
        <w:rPr>
          <w:rFonts w:ascii="Times New Roman" w:hAnsi="Times New Roman"/>
          <w:bCs/>
          <w:iCs/>
          <w:color w:val="000000"/>
        </w:rPr>
      </w:pPr>
      <w:r>
        <w:rPr>
          <w:rFonts w:ascii="Times New Roman" w:hAnsi="Times New Roman"/>
          <w:bCs/>
          <w:iCs/>
          <w:color w:val="000000"/>
        </w:rPr>
        <w:t>1</w:t>
      </w:r>
      <w:r>
        <w:rPr>
          <w:rFonts w:hint="eastAsia" w:ascii="Times New Roman" w:hAnsi="Times New Roman"/>
          <w:bCs/>
          <w:iCs/>
          <w:color w:val="000000"/>
        </w:rPr>
        <w:t>、工程质量保修范围和内容</w:t>
      </w:r>
    </w:p>
    <w:p w14:paraId="3E187AFF">
      <w:pPr>
        <w:spacing w:line="300" w:lineRule="auto"/>
        <w:ind w:firstLine="411" w:firstLineChars="196"/>
        <w:rPr>
          <w:rFonts w:ascii="Times New Roman" w:hAnsi="Times New Roman"/>
          <w:bCs/>
          <w:iCs/>
          <w:color w:val="000000"/>
        </w:rPr>
      </w:pPr>
      <w:r>
        <w:rPr>
          <w:rFonts w:hint="eastAsia" w:ascii="Times New Roman" w:hAnsi="Times New Roman"/>
          <w:bCs/>
          <w:iCs/>
          <w:color w:val="000000"/>
        </w:rPr>
        <w:t>承包人在质量保修期内，按照有关法律、法规、规章规定和双方约定，承担本工程质量保修责任。</w:t>
      </w:r>
    </w:p>
    <w:p w14:paraId="4C336313">
      <w:pPr>
        <w:spacing w:line="300" w:lineRule="auto"/>
        <w:ind w:firstLine="411" w:firstLineChars="196"/>
        <w:rPr>
          <w:rFonts w:ascii="Times New Roman" w:hAnsi="Times New Roman"/>
          <w:bCs/>
          <w:iCs/>
          <w:color w:val="000000"/>
        </w:rPr>
      </w:pPr>
      <w:r>
        <w:rPr>
          <w:rFonts w:hint="eastAsia" w:ascii="Times New Roman" w:hAnsi="Times New Roman"/>
          <w:bCs/>
          <w:iCs/>
          <w:color w:val="000000"/>
        </w:rPr>
        <w:t>具体保修的内容，双方约定如下：承包人承包范围内的所有工程项目均为保修内容。</w:t>
      </w:r>
    </w:p>
    <w:p w14:paraId="6A6CB2F5">
      <w:pPr>
        <w:spacing w:line="300" w:lineRule="auto"/>
        <w:rPr>
          <w:rFonts w:ascii="Times New Roman" w:hAnsi="Times New Roman"/>
          <w:color w:val="000000"/>
        </w:rPr>
      </w:pPr>
      <w:r>
        <w:rPr>
          <w:rFonts w:ascii="Times New Roman" w:hAnsi="Times New Roman"/>
          <w:bCs/>
          <w:iCs/>
          <w:color w:val="000000"/>
        </w:rPr>
        <w:t>2</w:t>
      </w:r>
      <w:r>
        <w:rPr>
          <w:rFonts w:hint="eastAsia" w:ascii="Times New Roman" w:hAnsi="Times New Roman"/>
          <w:bCs/>
          <w:iCs/>
          <w:color w:val="000000"/>
        </w:rPr>
        <w:t>、</w:t>
      </w:r>
      <w:r>
        <w:rPr>
          <w:rFonts w:hint="eastAsia" w:ascii="Times New Roman" w:hAnsi="Times New Roman"/>
          <w:color w:val="000000"/>
        </w:rPr>
        <w:t>质量缺陷修复期</w:t>
      </w:r>
    </w:p>
    <w:p w14:paraId="671A3FC9">
      <w:pPr>
        <w:spacing w:line="300" w:lineRule="auto"/>
        <w:rPr>
          <w:rFonts w:ascii="Times New Roman" w:hAnsi="Times New Roman"/>
          <w:bCs/>
          <w:iCs/>
          <w:color w:val="000000"/>
        </w:rPr>
      </w:pPr>
      <w:r>
        <w:rPr>
          <w:rFonts w:hint="eastAsia" w:ascii="Times New Roman" w:hAnsi="Times New Roman"/>
          <w:bCs/>
          <w:iCs/>
          <w:color w:val="000000"/>
        </w:rPr>
        <w:t>自工程竣工验收合格之日起</w:t>
      </w:r>
      <w:r>
        <w:rPr>
          <w:rFonts w:hint="eastAsia" w:ascii="Times New Roman" w:hAnsi="Times New Roman"/>
          <w:bCs/>
          <w:iCs/>
          <w:color w:val="000000"/>
          <w:u w:val="single"/>
        </w:rPr>
        <w:t>24</w:t>
      </w:r>
      <w:r>
        <w:rPr>
          <w:rFonts w:hint="eastAsia" w:ascii="Times New Roman" w:hAnsi="Times New Roman"/>
          <w:bCs/>
          <w:iCs/>
          <w:color w:val="000000"/>
        </w:rPr>
        <w:t>个月内。</w:t>
      </w:r>
    </w:p>
    <w:p w14:paraId="750DF99A">
      <w:pPr>
        <w:spacing w:line="300" w:lineRule="auto"/>
        <w:rPr>
          <w:rFonts w:ascii="Times New Roman" w:hAnsi="Times New Roman"/>
          <w:bCs/>
          <w:iCs/>
          <w:color w:val="000000"/>
          <w:highlight w:val="none"/>
        </w:rPr>
      </w:pPr>
      <w:r>
        <w:rPr>
          <w:rFonts w:ascii="Times New Roman" w:hAnsi="Times New Roman"/>
          <w:bCs/>
          <w:iCs/>
          <w:color w:val="000000"/>
          <w:highlight w:val="none"/>
        </w:rPr>
        <w:t>3</w:t>
      </w:r>
      <w:r>
        <w:rPr>
          <w:rFonts w:hint="eastAsia" w:ascii="Times New Roman" w:hAnsi="Times New Roman"/>
          <w:bCs/>
          <w:iCs/>
          <w:color w:val="000000"/>
          <w:highlight w:val="none"/>
        </w:rPr>
        <w:t>、质量保修责任</w:t>
      </w:r>
    </w:p>
    <w:p w14:paraId="342D8541">
      <w:pPr>
        <w:spacing w:line="300" w:lineRule="auto"/>
        <w:ind w:firstLine="420" w:firstLineChars="200"/>
        <w:rPr>
          <w:rFonts w:ascii="Times New Roman" w:hAnsi="Times New Roman"/>
          <w:color w:val="000000"/>
          <w:highlight w:val="none"/>
        </w:rPr>
      </w:pPr>
      <w:r>
        <w:rPr>
          <w:rFonts w:ascii="Times New Roman" w:hAnsi="Times New Roman"/>
          <w:bCs/>
          <w:iCs/>
          <w:color w:val="000000"/>
          <w:highlight w:val="none"/>
        </w:rPr>
        <w:t>3.1</w:t>
      </w:r>
      <w:r>
        <w:rPr>
          <w:rFonts w:hint="eastAsia" w:ascii="Times New Roman" w:hAnsi="Times New Roman"/>
          <w:bCs/>
          <w:iCs/>
          <w:color w:val="000000"/>
          <w:highlight w:val="none"/>
        </w:rPr>
        <w:t>属于保修范围、内容的项目，承包人应当在接到保修通知之日起</w:t>
      </w:r>
      <w:r>
        <w:rPr>
          <w:rFonts w:hint="eastAsia" w:ascii="Times New Roman" w:hAnsi="Times New Roman"/>
          <w:bCs/>
          <w:iCs/>
          <w:color w:val="000000"/>
          <w:highlight w:val="none"/>
          <w:lang w:val="en-US" w:eastAsia="zh-CN"/>
        </w:rPr>
        <w:t>三</w:t>
      </w:r>
      <w:r>
        <w:rPr>
          <w:rFonts w:hint="eastAsia" w:ascii="Times New Roman" w:hAnsi="Times New Roman"/>
          <w:bCs/>
          <w:iCs/>
          <w:color w:val="000000"/>
          <w:highlight w:val="none"/>
        </w:rPr>
        <w:t>天内派人保修。不在约定期限内派人保修的，发包人可以委托他人修理，</w:t>
      </w:r>
      <w:r>
        <w:rPr>
          <w:rFonts w:hint="eastAsia" w:ascii="Times New Roman" w:hAnsi="Times New Roman"/>
          <w:color w:val="000000"/>
          <w:highlight w:val="none"/>
        </w:rPr>
        <w:t>修复费用从质保金内扣除。</w:t>
      </w:r>
    </w:p>
    <w:p w14:paraId="515DCF47">
      <w:pPr>
        <w:spacing w:line="300" w:lineRule="auto"/>
        <w:ind w:firstLine="411" w:firstLineChars="196"/>
        <w:rPr>
          <w:rFonts w:ascii="Times New Roman" w:hAnsi="Times New Roman"/>
          <w:bCs/>
          <w:iCs/>
          <w:color w:val="000000"/>
        </w:rPr>
      </w:pPr>
      <w:r>
        <w:rPr>
          <w:rFonts w:ascii="Times New Roman" w:hAnsi="Times New Roman"/>
          <w:bCs/>
          <w:iCs/>
          <w:color w:val="000000"/>
        </w:rPr>
        <w:t>3.2</w:t>
      </w:r>
      <w:r>
        <w:rPr>
          <w:rFonts w:hint="eastAsia" w:ascii="Times New Roman" w:hAnsi="Times New Roman"/>
          <w:bCs/>
          <w:iCs/>
          <w:color w:val="000000"/>
        </w:rPr>
        <w:t>发生紧急抢修事故的，承包人在接到事故通知后，应当</w:t>
      </w:r>
      <w:r>
        <w:rPr>
          <w:rFonts w:hint="eastAsia" w:ascii="Times New Roman" w:hAnsi="Times New Roman"/>
          <w:bCs/>
          <w:iCs/>
          <w:color w:val="000000"/>
          <w:lang w:val="en-US" w:eastAsia="zh-CN"/>
        </w:rPr>
        <w:t>12小时</w:t>
      </w:r>
      <w:r>
        <w:rPr>
          <w:rFonts w:hint="eastAsia" w:ascii="Times New Roman" w:hAnsi="Times New Roman"/>
          <w:bCs/>
          <w:iCs/>
          <w:color w:val="000000"/>
        </w:rPr>
        <w:t>到达事故现场抢修。</w:t>
      </w:r>
    </w:p>
    <w:p w14:paraId="16E5A745">
      <w:pPr>
        <w:spacing w:line="300" w:lineRule="auto"/>
        <w:ind w:firstLine="411" w:firstLineChars="196"/>
        <w:rPr>
          <w:rFonts w:ascii="Times New Roman" w:hAnsi="Times New Roman"/>
          <w:bCs/>
          <w:iCs/>
          <w:color w:val="000000"/>
        </w:rPr>
      </w:pPr>
      <w:r>
        <w:rPr>
          <w:rFonts w:ascii="Times New Roman" w:hAnsi="Times New Roman"/>
          <w:bCs/>
          <w:iCs/>
          <w:color w:val="000000"/>
        </w:rPr>
        <w:t>3.3</w:t>
      </w:r>
      <w:r>
        <w:rPr>
          <w:rFonts w:hint="eastAsia" w:ascii="Times New Roman" w:hAnsi="Times New Roman"/>
          <w:bCs/>
          <w:iCs/>
          <w:color w:val="000000"/>
        </w:rPr>
        <w:t>对于涉及结构安全的质量问题，应当按照有关规定，立即向当地建设行政主管部门报告，采取安全防范措施；由原设计单位或者具有相应资质等级的设计单位提出保修方案，承包人实施保修。</w:t>
      </w:r>
    </w:p>
    <w:p w14:paraId="034EB8B1">
      <w:pPr>
        <w:spacing w:line="300" w:lineRule="auto"/>
        <w:ind w:firstLine="411" w:firstLineChars="196"/>
        <w:rPr>
          <w:rFonts w:ascii="Times New Roman" w:hAnsi="Times New Roman"/>
          <w:bCs/>
          <w:iCs/>
          <w:color w:val="000000"/>
        </w:rPr>
      </w:pPr>
      <w:r>
        <w:rPr>
          <w:rFonts w:ascii="Times New Roman" w:hAnsi="Times New Roman"/>
          <w:bCs/>
          <w:iCs/>
          <w:color w:val="000000"/>
        </w:rPr>
        <w:t>3.4</w:t>
      </w:r>
      <w:r>
        <w:rPr>
          <w:rFonts w:hint="eastAsia" w:ascii="Times New Roman" w:hAnsi="Times New Roman"/>
          <w:color w:val="000000"/>
        </w:rPr>
        <w:t>在国家规定的工程合理使用期限内，承包人确保地基基础工程和主体结构的质量。因承包人原因致使工程在合理使用期限内造成人身和财产损害的，承包人应承担赔偿责任。</w:t>
      </w:r>
    </w:p>
    <w:p w14:paraId="7E1021BC">
      <w:pPr>
        <w:spacing w:line="300" w:lineRule="auto"/>
        <w:ind w:firstLine="411" w:firstLineChars="196"/>
        <w:rPr>
          <w:rFonts w:ascii="Times New Roman" w:hAnsi="Times New Roman"/>
          <w:bCs/>
          <w:iCs/>
          <w:color w:val="000000"/>
        </w:rPr>
      </w:pPr>
      <w:r>
        <w:rPr>
          <w:rFonts w:ascii="Times New Roman" w:hAnsi="Times New Roman"/>
          <w:bCs/>
          <w:iCs/>
          <w:color w:val="000000"/>
        </w:rPr>
        <w:t>3.5</w:t>
      </w:r>
      <w:r>
        <w:rPr>
          <w:rFonts w:hint="eastAsia" w:ascii="Times New Roman" w:hAnsi="Times New Roman"/>
          <w:bCs/>
          <w:iCs/>
          <w:color w:val="000000"/>
        </w:rPr>
        <w:t>质量保修完成后，由发包人组织验收。</w:t>
      </w:r>
    </w:p>
    <w:p w14:paraId="4BEB156C">
      <w:pPr>
        <w:spacing w:line="300" w:lineRule="auto"/>
        <w:ind w:firstLine="411" w:firstLineChars="196"/>
        <w:rPr>
          <w:rFonts w:ascii="Times New Roman" w:hAnsi="Times New Roman"/>
          <w:bCs/>
          <w:iCs/>
          <w:color w:val="000000"/>
        </w:rPr>
      </w:pPr>
      <w:r>
        <w:rPr>
          <w:rFonts w:ascii="Times New Roman" w:hAnsi="Times New Roman"/>
          <w:bCs/>
          <w:iCs/>
          <w:color w:val="000000"/>
        </w:rPr>
        <w:t>3.6</w:t>
      </w:r>
      <w:r>
        <w:rPr>
          <w:rFonts w:hint="eastAsia" w:ascii="Times New Roman" w:hAnsi="Times New Roman"/>
          <w:bCs/>
          <w:iCs/>
          <w:color w:val="000000"/>
        </w:rPr>
        <w:t>保修费用由造成质量缺陷的责任方承担。</w:t>
      </w:r>
    </w:p>
    <w:p w14:paraId="14A19ED6">
      <w:pPr>
        <w:spacing w:line="300" w:lineRule="auto"/>
        <w:rPr>
          <w:rFonts w:ascii="Times New Roman" w:hAnsi="Times New Roman"/>
          <w:color w:val="000000"/>
        </w:rPr>
      </w:pPr>
      <w:r>
        <w:rPr>
          <w:rFonts w:ascii="Times New Roman" w:hAnsi="Times New Roman"/>
          <w:bCs/>
          <w:iCs/>
          <w:color w:val="000000"/>
        </w:rPr>
        <w:t>4</w:t>
      </w:r>
      <w:r>
        <w:rPr>
          <w:rFonts w:hint="eastAsia" w:ascii="Times New Roman" w:hAnsi="Times New Roman"/>
          <w:bCs/>
          <w:iCs/>
          <w:color w:val="000000"/>
        </w:rPr>
        <w:t>、工程质保金</w:t>
      </w:r>
    </w:p>
    <w:p w14:paraId="17573FFA">
      <w:pPr>
        <w:spacing w:line="300" w:lineRule="auto"/>
        <w:ind w:left="420" w:leftChars="200"/>
        <w:rPr>
          <w:rFonts w:ascii="Times New Roman" w:hAnsi="Times New Roman"/>
          <w:color w:val="000000"/>
        </w:rPr>
      </w:pPr>
      <w:r>
        <w:rPr>
          <w:rFonts w:hint="eastAsia" w:ascii="Times New Roman" w:hAnsi="Times New Roman"/>
          <w:color w:val="000000"/>
        </w:rPr>
        <w:t>本工程约定的工程质保金为工程结算审定价的</w:t>
      </w:r>
      <w:r>
        <w:rPr>
          <w:rFonts w:hint="eastAsia" w:ascii="Times New Roman" w:hAnsi="Times New Roman"/>
          <w:color w:val="000000"/>
          <w:lang w:val="en-US" w:eastAsia="zh-CN"/>
        </w:rPr>
        <w:t>3</w:t>
      </w:r>
      <w:r>
        <w:rPr>
          <w:rFonts w:ascii="Times New Roman" w:hAnsi="Times New Roman"/>
          <w:color w:val="000000"/>
        </w:rPr>
        <w:t>%</w:t>
      </w:r>
      <w:r>
        <w:rPr>
          <w:rFonts w:hint="eastAsia" w:ascii="Times New Roman" w:hAnsi="Times New Roman"/>
          <w:color w:val="000000"/>
        </w:rPr>
        <w:t>。</w:t>
      </w:r>
    </w:p>
    <w:p w14:paraId="093E1132">
      <w:pPr>
        <w:spacing w:line="300" w:lineRule="auto"/>
        <w:rPr>
          <w:rFonts w:ascii="Times New Roman" w:hAnsi="Times New Roman"/>
          <w:color w:val="000000"/>
        </w:rPr>
      </w:pPr>
      <w:r>
        <w:rPr>
          <w:rFonts w:ascii="Times New Roman" w:hAnsi="Times New Roman"/>
          <w:color w:val="000000"/>
        </w:rPr>
        <w:t>5</w:t>
      </w:r>
      <w:r>
        <w:rPr>
          <w:rFonts w:hint="eastAsia" w:ascii="Times New Roman" w:hAnsi="Times New Roman"/>
          <w:color w:val="000000"/>
        </w:rPr>
        <w:t>、工程保留金的返还</w:t>
      </w:r>
    </w:p>
    <w:p w14:paraId="2D26678F">
      <w:pPr>
        <w:spacing w:line="300" w:lineRule="auto"/>
        <w:ind w:firstLine="315" w:firstLineChars="150"/>
        <w:rPr>
          <w:rFonts w:ascii="Times New Roman" w:hAnsi="Times New Roman"/>
          <w:bCs/>
          <w:iCs/>
          <w:color w:val="000000"/>
        </w:rPr>
      </w:pPr>
      <w:r>
        <w:rPr>
          <w:rFonts w:hint="eastAsia" w:ascii="Times New Roman" w:hAnsi="Times New Roman"/>
          <w:color w:val="000000"/>
        </w:rPr>
        <w:t>发包人在质量保修责任期满且无责任事故后30天内将保留金返还承包人</w:t>
      </w:r>
      <w:r>
        <w:rPr>
          <w:rFonts w:hint="eastAsia" w:ascii="Times New Roman" w:hAnsi="Times New Roman"/>
          <w:bCs/>
          <w:iCs/>
          <w:color w:val="000000"/>
        </w:rPr>
        <w:t>。</w:t>
      </w:r>
    </w:p>
    <w:p w14:paraId="355F9BDC">
      <w:pPr>
        <w:spacing w:line="300" w:lineRule="auto"/>
        <w:rPr>
          <w:rFonts w:ascii="Times New Roman" w:hAnsi="Times New Roman"/>
          <w:bCs/>
          <w:iCs/>
          <w:color w:val="000000"/>
        </w:rPr>
      </w:pPr>
      <w:r>
        <w:rPr>
          <w:rFonts w:ascii="Times New Roman" w:hAnsi="Times New Roman"/>
          <w:bCs/>
          <w:iCs/>
          <w:color w:val="000000"/>
        </w:rPr>
        <w:t>6</w:t>
      </w:r>
      <w:r>
        <w:rPr>
          <w:rFonts w:hint="eastAsia" w:ascii="Times New Roman" w:hAnsi="Times New Roman"/>
          <w:bCs/>
          <w:iCs/>
          <w:color w:val="000000"/>
        </w:rPr>
        <w:t>、其他</w:t>
      </w:r>
    </w:p>
    <w:p w14:paraId="2FEB28A1">
      <w:pPr>
        <w:spacing w:line="300" w:lineRule="auto"/>
        <w:ind w:firstLine="411" w:firstLineChars="196"/>
        <w:rPr>
          <w:rFonts w:ascii="Times New Roman" w:hAnsi="Times New Roman"/>
          <w:bCs/>
          <w:iCs/>
          <w:color w:val="000000"/>
        </w:rPr>
      </w:pPr>
      <w:r>
        <w:rPr>
          <w:rFonts w:ascii="Times New Roman" w:hAnsi="Times New Roman"/>
          <w:bCs/>
          <w:iCs/>
          <w:color w:val="000000"/>
        </w:rPr>
        <w:t>6.1</w:t>
      </w:r>
      <w:r>
        <w:rPr>
          <w:rFonts w:hint="eastAsia" w:ascii="Times New Roman" w:hAnsi="Times New Roman"/>
          <w:bCs/>
          <w:iCs/>
          <w:color w:val="000000"/>
        </w:rPr>
        <w:t>双方约定的其他工程质量保修事项：无。</w:t>
      </w:r>
    </w:p>
    <w:p w14:paraId="76631CD9">
      <w:pPr>
        <w:spacing w:line="300" w:lineRule="auto"/>
        <w:ind w:firstLine="411" w:firstLineChars="196"/>
        <w:rPr>
          <w:rFonts w:ascii="Times New Roman" w:hAnsi="Times New Roman"/>
          <w:bCs/>
          <w:iCs/>
          <w:color w:val="000000"/>
        </w:rPr>
      </w:pPr>
      <w:r>
        <w:rPr>
          <w:rFonts w:ascii="Times New Roman" w:hAnsi="Times New Roman"/>
          <w:bCs/>
          <w:iCs/>
          <w:color w:val="000000"/>
        </w:rPr>
        <w:t>6.2</w:t>
      </w:r>
      <w:r>
        <w:rPr>
          <w:rFonts w:hint="eastAsia" w:ascii="Times New Roman" w:hAnsi="Times New Roman"/>
          <w:bCs/>
          <w:iCs/>
          <w:color w:val="000000"/>
        </w:rPr>
        <w:t>本工程质量保修书，由施工合同发包人、承包人双方在竣工验收前共同签署，作为施工合同附件，其有效期限至保修期满。</w:t>
      </w:r>
    </w:p>
    <w:p w14:paraId="3C20C2A4">
      <w:pPr>
        <w:spacing w:line="300" w:lineRule="auto"/>
        <w:ind w:firstLine="205" w:firstLineChars="98"/>
        <w:rPr>
          <w:rFonts w:ascii="Times New Roman" w:hAnsi="Times New Roman"/>
          <w:bCs/>
          <w:iCs/>
          <w:color w:val="000000"/>
        </w:rPr>
      </w:pPr>
      <w:r>
        <w:rPr>
          <w:rFonts w:hint="eastAsia" w:ascii="Times New Roman" w:hAnsi="Times New Roman"/>
          <w:bCs/>
          <w:iCs/>
          <w:color w:val="000000"/>
        </w:rPr>
        <w:t>发包人：</w:t>
      </w:r>
      <w:r>
        <w:rPr>
          <w:rFonts w:ascii="Times New Roman" w:hAnsi="Times New Roman"/>
          <w:bCs/>
          <w:iCs/>
          <w:color w:val="000000"/>
        </w:rPr>
        <w:t>(</w:t>
      </w:r>
      <w:r>
        <w:rPr>
          <w:rFonts w:hint="eastAsia" w:ascii="Times New Roman" w:hAnsi="Times New Roman"/>
          <w:bCs/>
          <w:iCs/>
          <w:color w:val="000000"/>
        </w:rPr>
        <w:t>公章</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承</w:t>
      </w:r>
      <w:r>
        <w:rPr>
          <w:rFonts w:ascii="Times New Roman" w:hAnsi="Times New Roman"/>
          <w:bCs/>
          <w:iCs/>
          <w:color w:val="000000"/>
        </w:rPr>
        <w:t xml:space="preserve">  </w:t>
      </w:r>
      <w:r>
        <w:rPr>
          <w:rFonts w:hint="eastAsia" w:ascii="Times New Roman" w:hAnsi="Times New Roman"/>
          <w:bCs/>
          <w:iCs/>
          <w:color w:val="000000"/>
        </w:rPr>
        <w:t>包</w:t>
      </w:r>
      <w:r>
        <w:rPr>
          <w:rFonts w:ascii="Times New Roman" w:hAnsi="Times New Roman"/>
          <w:bCs/>
          <w:iCs/>
          <w:color w:val="000000"/>
        </w:rPr>
        <w:t xml:space="preserve">  </w:t>
      </w:r>
      <w:r>
        <w:rPr>
          <w:rFonts w:hint="eastAsia" w:ascii="Times New Roman" w:hAnsi="Times New Roman"/>
          <w:bCs/>
          <w:iCs/>
          <w:color w:val="000000"/>
        </w:rPr>
        <w:t>人：</w:t>
      </w:r>
      <w:r>
        <w:rPr>
          <w:rFonts w:ascii="Times New Roman" w:hAnsi="Times New Roman"/>
          <w:bCs/>
          <w:iCs/>
          <w:color w:val="000000"/>
        </w:rPr>
        <w:t>(</w:t>
      </w:r>
      <w:r>
        <w:rPr>
          <w:rFonts w:hint="eastAsia" w:ascii="Times New Roman" w:hAnsi="Times New Roman"/>
          <w:bCs/>
          <w:iCs/>
          <w:color w:val="000000"/>
        </w:rPr>
        <w:t>公章</w:t>
      </w:r>
      <w:r>
        <w:rPr>
          <w:rFonts w:ascii="Times New Roman" w:hAnsi="Times New Roman"/>
          <w:bCs/>
          <w:iCs/>
          <w:color w:val="000000"/>
        </w:rPr>
        <w:t>)</w:t>
      </w:r>
    </w:p>
    <w:p w14:paraId="0AD94E0E">
      <w:pPr>
        <w:spacing w:line="300" w:lineRule="auto"/>
        <w:ind w:firstLine="205" w:firstLineChars="98"/>
        <w:rPr>
          <w:rFonts w:ascii="Times New Roman" w:hAnsi="Times New Roman"/>
          <w:bCs/>
          <w:iCs/>
          <w:color w:val="000000"/>
        </w:rPr>
      </w:pPr>
      <w:r>
        <w:rPr>
          <w:rFonts w:hint="eastAsia" w:ascii="Times New Roman" w:hAnsi="Times New Roman"/>
          <w:bCs/>
          <w:iCs/>
          <w:color w:val="000000"/>
        </w:rPr>
        <w:t>委托代理人：</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委托代理人：</w:t>
      </w:r>
    </w:p>
    <w:p w14:paraId="66CCB971">
      <w:pPr>
        <w:spacing w:line="300" w:lineRule="auto"/>
        <w:rPr>
          <w:rFonts w:ascii="Times New Roman" w:hAnsi="Times New Roman" w:eastAsia="黑体"/>
          <w:b/>
          <w:color w:val="000000"/>
        </w:rPr>
      </w:pP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期：</w:t>
      </w:r>
      <w:r>
        <w:rPr>
          <w:rFonts w:ascii="Times New Roman" w:hAnsi="Times New Roman"/>
          <w:bCs/>
          <w:iCs/>
          <w:color w:val="000000"/>
        </w:rPr>
        <w:t xml:space="preserve">   </w:t>
      </w:r>
      <w:r>
        <w:rPr>
          <w:rFonts w:hint="eastAsia" w:ascii="Times New Roman" w:hAnsi="Times New Roman"/>
          <w:bCs/>
          <w:iCs/>
          <w:color w:val="000000"/>
        </w:rPr>
        <w:t>年</w:t>
      </w:r>
      <w:r>
        <w:rPr>
          <w:rFonts w:ascii="Times New Roman" w:hAnsi="Times New Roman"/>
          <w:bCs/>
          <w:iCs/>
          <w:color w:val="000000"/>
        </w:rPr>
        <w:t xml:space="preserve">  </w:t>
      </w:r>
      <w:r>
        <w:rPr>
          <w:rFonts w:hint="eastAsia" w:ascii="Times New Roman" w:hAnsi="Times New Roman"/>
          <w:bCs/>
          <w:iCs/>
          <w:color w:val="000000"/>
        </w:rPr>
        <w:t>月</w:t>
      </w:r>
      <w:r>
        <w:rPr>
          <w:rFonts w:ascii="Times New Roman" w:hAnsi="Times New Roman"/>
          <w:bCs/>
          <w:iCs/>
          <w:color w:val="000000"/>
        </w:rPr>
        <w:t xml:space="preserve">  </w:t>
      </w: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期：</w:t>
      </w:r>
      <w:r>
        <w:rPr>
          <w:rFonts w:ascii="Times New Roman" w:hAnsi="Times New Roman"/>
          <w:bCs/>
          <w:iCs/>
          <w:color w:val="000000"/>
        </w:rPr>
        <w:t xml:space="preserve">   </w:t>
      </w:r>
      <w:r>
        <w:rPr>
          <w:rFonts w:hint="eastAsia" w:ascii="Times New Roman" w:hAnsi="Times New Roman"/>
          <w:bCs/>
          <w:color w:val="000000"/>
        </w:rPr>
        <w:t>年</w:t>
      </w:r>
      <w:r>
        <w:rPr>
          <w:rFonts w:ascii="Times New Roman" w:hAnsi="Times New Roman"/>
          <w:bCs/>
          <w:color w:val="000000"/>
          <w:u w:val="single"/>
        </w:rPr>
        <w:t xml:space="preserve">   </w:t>
      </w:r>
      <w:r>
        <w:rPr>
          <w:rFonts w:hint="eastAsia" w:ascii="Times New Roman" w:hAnsi="Times New Roman"/>
          <w:bCs/>
          <w:color w:val="000000"/>
        </w:rPr>
        <w:t>月</w:t>
      </w:r>
      <w:r>
        <w:rPr>
          <w:rFonts w:ascii="Times New Roman" w:hAnsi="Times New Roman"/>
          <w:bCs/>
          <w:color w:val="000000"/>
          <w:u w:val="single"/>
        </w:rPr>
        <w:t xml:space="preserve">   </w:t>
      </w:r>
      <w:r>
        <w:rPr>
          <w:rFonts w:hint="eastAsia" w:ascii="Times New Roman" w:hAnsi="Times New Roman"/>
          <w:bCs/>
          <w:color w:val="000000"/>
        </w:rPr>
        <w:t>日</w:t>
      </w:r>
    </w:p>
    <w:p w14:paraId="6B2CC58E">
      <w:pPr>
        <w:widowControl/>
        <w:jc w:val="left"/>
        <w:rPr>
          <w:rFonts w:ascii="Times New Roman" w:hAnsi="Times New Roman" w:eastAsia="黑体"/>
          <w:b/>
          <w:color w:val="000000"/>
          <w:sz w:val="24"/>
          <w:szCs w:val="24"/>
        </w:rPr>
      </w:pPr>
      <w:r>
        <w:rPr>
          <w:rFonts w:ascii="Times New Roman" w:hAnsi="Times New Roman" w:eastAsia="黑体"/>
          <w:b/>
          <w:color w:val="000000"/>
          <w:sz w:val="24"/>
          <w:szCs w:val="24"/>
        </w:rPr>
        <w:br w:type="page"/>
      </w:r>
    </w:p>
    <w:p w14:paraId="632BC8BF">
      <w:pPr>
        <w:spacing w:line="300" w:lineRule="auto"/>
        <w:jc w:val="center"/>
        <w:rPr>
          <w:rFonts w:ascii="Times New Roman" w:hAnsi="Times New Roman" w:eastAsia="黑体"/>
          <w:b/>
          <w:color w:val="000000"/>
          <w:sz w:val="32"/>
          <w:szCs w:val="32"/>
        </w:rPr>
      </w:pPr>
      <w:bookmarkStart w:id="68" w:name="OLE_LINK1"/>
      <w:r>
        <w:rPr>
          <w:rFonts w:hint="eastAsia" w:ascii="Times New Roman" w:hAnsi="Times New Roman" w:eastAsia="黑体"/>
          <w:b/>
          <w:color w:val="000000"/>
          <w:sz w:val="32"/>
          <w:szCs w:val="32"/>
        </w:rPr>
        <w:t>附件三 安全管理协议</w:t>
      </w:r>
    </w:p>
    <w:p w14:paraId="345D3A5D">
      <w:pPr>
        <w:spacing w:line="300" w:lineRule="auto"/>
        <w:rPr>
          <w:rFonts w:hint="eastAsia" w:cs="仿宋_GB2312"/>
          <w:szCs w:val="21"/>
        </w:rPr>
      </w:pPr>
      <w:r>
        <w:rPr>
          <w:rFonts w:hint="eastAsia" w:cs="仿宋_GB2312"/>
          <w:szCs w:val="21"/>
        </w:rPr>
        <w:t>发包人：</w:t>
      </w:r>
      <w:r>
        <w:rPr>
          <w:rFonts w:hint="eastAsia"/>
        </w:rPr>
        <w:t>济南黄河爆破工程有限责任公司</w:t>
      </w:r>
    </w:p>
    <w:p w14:paraId="0C0FDE1F">
      <w:pPr>
        <w:rPr>
          <w:rFonts w:hint="eastAsia" w:cs="仿宋_GB2312"/>
          <w:szCs w:val="21"/>
        </w:rPr>
      </w:pPr>
      <w:r>
        <w:rPr>
          <w:rFonts w:hint="eastAsia" w:cs="仿宋_GB2312"/>
          <w:szCs w:val="21"/>
        </w:rPr>
        <w:t>承包人：</w:t>
      </w:r>
    </w:p>
    <w:p w14:paraId="57C900FC">
      <w:pPr>
        <w:ind w:firstLine="640"/>
        <w:rPr>
          <w:rFonts w:hint="eastAsia" w:cs="仿宋_GB2312"/>
          <w:szCs w:val="21"/>
        </w:rPr>
      </w:pPr>
      <w:r>
        <w:rPr>
          <w:rFonts w:hint="eastAsia" w:cs="仿宋_GB2312"/>
          <w:szCs w:val="21"/>
        </w:rPr>
        <w:t>为了加强和规范工程项目建设全过程的安全管理，防止事故的发生，实现安全作业和文明施工，根据《中华人民共和国民法典》《中华人民共和国安全生产法》《中华人民共和国建筑法》《建设工程安全生产管理条例》《企业安全生产费用提取和使用管理办法》(财资(2022)136号)等法律法规，坚持“安全第一、预防为主、综合治理”的方针，进一步明确双方责任，经协商一致，签订此协议书。</w:t>
      </w:r>
    </w:p>
    <w:p w14:paraId="5537A674">
      <w:pPr>
        <w:ind w:firstLine="640"/>
        <w:rPr>
          <w:rFonts w:hint="eastAsia" w:cs="黑体"/>
          <w:szCs w:val="21"/>
        </w:rPr>
      </w:pPr>
      <w:r>
        <w:rPr>
          <w:rFonts w:hint="eastAsia" w:cs="黑体"/>
          <w:szCs w:val="21"/>
        </w:rPr>
        <w:t>一、工程项目情况</w:t>
      </w:r>
    </w:p>
    <w:p w14:paraId="52F980FD">
      <w:pPr>
        <w:ind w:firstLine="640"/>
        <w:rPr>
          <w:rFonts w:hint="eastAsia" w:cs="仿宋_GB2312"/>
          <w:szCs w:val="21"/>
        </w:rPr>
      </w:pPr>
      <w:r>
        <w:rPr>
          <w:rFonts w:hint="eastAsia" w:cs="仿宋_GB2312"/>
          <w:szCs w:val="21"/>
        </w:rPr>
        <w:t>工程名称：（同主合同）</w:t>
      </w:r>
    </w:p>
    <w:p w14:paraId="48D64360">
      <w:pPr>
        <w:ind w:firstLine="640"/>
        <w:rPr>
          <w:rFonts w:hint="eastAsia" w:cs="仿宋_GB2312"/>
          <w:szCs w:val="21"/>
        </w:rPr>
      </w:pPr>
      <w:r>
        <w:rPr>
          <w:rFonts w:hint="eastAsia" w:cs="仿宋_GB2312"/>
          <w:szCs w:val="21"/>
        </w:rPr>
        <w:t>开工时间：（同主合同）</w:t>
      </w:r>
    </w:p>
    <w:p w14:paraId="5EE38F11">
      <w:pPr>
        <w:ind w:firstLine="640"/>
        <w:rPr>
          <w:rFonts w:hint="eastAsia" w:cs="黑体"/>
          <w:szCs w:val="21"/>
        </w:rPr>
      </w:pPr>
      <w:r>
        <w:rPr>
          <w:rFonts w:hint="eastAsia" w:cs="黑体"/>
          <w:szCs w:val="21"/>
        </w:rPr>
        <w:t>二、发包人的权利及义务</w:t>
      </w:r>
    </w:p>
    <w:p w14:paraId="5AF46D2B">
      <w:pPr>
        <w:ind w:firstLine="640"/>
        <w:rPr>
          <w:rFonts w:hint="eastAsia" w:cs="仿宋_GB2312"/>
          <w:szCs w:val="21"/>
        </w:rPr>
      </w:pPr>
      <w:r>
        <w:rPr>
          <w:rFonts w:hint="eastAsia" w:cs="仿宋_GB2312"/>
          <w:szCs w:val="21"/>
        </w:rPr>
        <w:t>1.严格落实建设项目首要责任，做到管理、培训、检查、考核、奖惩“五统一”。组织各承包单位建立全过程风险管控制度，将承包单位项目部纳入本单位的安全管理体系。</w:t>
      </w:r>
    </w:p>
    <w:p w14:paraId="6E0CFD55">
      <w:pPr>
        <w:ind w:firstLine="640"/>
        <w:rPr>
          <w:rFonts w:hint="eastAsia" w:cs="仿宋_GB2312"/>
          <w:szCs w:val="21"/>
        </w:rPr>
      </w:pPr>
      <w:r>
        <w:rPr>
          <w:rFonts w:hint="eastAsia" w:cs="仿宋_GB2312"/>
          <w:szCs w:val="21"/>
        </w:rPr>
        <w:t>2.专门建立对承包单位资质、安全生产条件进行审查的管理制度，定期对承包方施工现场安全管理、制度规程执行、安全投入、人员管理、涉险事件发生率等进行综合评估，经评估不符合安全生产条件的，应责令承包方整改，整改不到位的应依法解除承包合同。备案承包人相应资料。</w:t>
      </w:r>
    </w:p>
    <w:p w14:paraId="035FA99B">
      <w:pPr>
        <w:ind w:firstLine="640"/>
        <w:rPr>
          <w:rFonts w:hint="eastAsia" w:cs="仿宋_GB2312"/>
          <w:szCs w:val="21"/>
        </w:rPr>
      </w:pPr>
      <w:r>
        <w:rPr>
          <w:rFonts w:hint="eastAsia" w:cs="仿宋_GB2312"/>
          <w:szCs w:val="21"/>
        </w:rPr>
        <w:t>3.在工程开工前书面告知承包人项目红线内地下管线及毗邻情况以及安全管理制度和安全要求。</w:t>
      </w:r>
    </w:p>
    <w:p w14:paraId="07FA5F60">
      <w:pPr>
        <w:ind w:firstLine="640"/>
        <w:rPr>
          <w:rFonts w:hint="eastAsia" w:cs="仿宋_GB2312"/>
          <w:szCs w:val="21"/>
        </w:rPr>
      </w:pPr>
      <w:r>
        <w:rPr>
          <w:rFonts w:hint="eastAsia" w:cs="仿宋_GB2312"/>
          <w:szCs w:val="21"/>
        </w:rPr>
        <w:t>4.施工作业前，要针对作业现场的特点、主要危险、应急处理措施和进入现场的安全注意事项等，组织对承包人相关人员进行安全教育培训。</w:t>
      </w:r>
    </w:p>
    <w:p w14:paraId="2B29A4F7">
      <w:pPr>
        <w:ind w:firstLine="640"/>
        <w:rPr>
          <w:rFonts w:hint="eastAsia" w:cs="仿宋_GB2312"/>
          <w:szCs w:val="21"/>
        </w:rPr>
      </w:pPr>
      <w:r>
        <w:rPr>
          <w:rFonts w:hint="eastAsia" w:cs="仿宋_GB2312"/>
          <w:szCs w:val="21"/>
        </w:rPr>
        <w:t>5.监督承包人实行全部人员实名制管理，监督承包人建立“一人一档”台账，内容应包括外包队伍合同签订情况、人员信息、健康状况、持证情况、参与培训情况、考核记录等。</w:t>
      </w:r>
    </w:p>
    <w:p w14:paraId="77AA6F52">
      <w:pPr>
        <w:ind w:firstLine="640"/>
        <w:rPr>
          <w:rFonts w:hint="eastAsia" w:cs="仿宋_GB2312"/>
          <w:szCs w:val="21"/>
        </w:rPr>
      </w:pPr>
      <w:r>
        <w:rPr>
          <w:rFonts w:hint="eastAsia" w:cs="仿宋_GB2312"/>
          <w:szCs w:val="21"/>
        </w:rPr>
        <w:t>6.对承包人制定的安全措施或风险控制措施进行审查并备案。</w:t>
      </w:r>
    </w:p>
    <w:p w14:paraId="607D8397">
      <w:pPr>
        <w:ind w:firstLine="640"/>
        <w:rPr>
          <w:rFonts w:hint="eastAsia" w:cs="仿宋_GB2312"/>
          <w:szCs w:val="21"/>
        </w:rPr>
      </w:pPr>
      <w:r>
        <w:rPr>
          <w:rFonts w:hint="eastAsia" w:cs="仿宋_GB2312"/>
          <w:szCs w:val="21"/>
        </w:rPr>
        <w:t>7.监督承包人对其员工进行有关安全管理、安全知识和安全规章制度、危险源控制措施等安全施工的教育培训。</w:t>
      </w:r>
    </w:p>
    <w:p w14:paraId="4A2E19C9">
      <w:pPr>
        <w:ind w:firstLine="640"/>
        <w:rPr>
          <w:rFonts w:hint="eastAsia" w:cs="仿宋_GB2312"/>
          <w:szCs w:val="21"/>
        </w:rPr>
      </w:pPr>
      <w:r>
        <w:rPr>
          <w:rFonts w:hint="eastAsia" w:cs="仿宋_GB2312"/>
          <w:szCs w:val="21"/>
        </w:rPr>
        <w:t>有权检查承包人主要负责人、项目经理、安全生产管理人员、特种作业人员等持证情况。</w:t>
      </w:r>
    </w:p>
    <w:p w14:paraId="65A01D5E">
      <w:pPr>
        <w:ind w:firstLine="640"/>
        <w:rPr>
          <w:rFonts w:hint="eastAsia" w:cs="仿宋_GB2312"/>
          <w:szCs w:val="21"/>
        </w:rPr>
      </w:pPr>
      <w:r>
        <w:rPr>
          <w:rFonts w:hint="eastAsia" w:cs="仿宋_GB2312"/>
          <w:szCs w:val="21"/>
        </w:rPr>
        <w:t>8.对承包人不落实或违反国家有关安全生产法律法规及发包人的有关安全生产制度规定;不履行安全管理职责，造成安全管理混乱;重大隐患治理不力;发生安全事故、职业病危害事故，造成发包人重大经济损失等情况，发包人有权下达工程建设停工令，要求进行安全整顿，按照相关规定进行考核并追究其经济和法律责任。</w:t>
      </w:r>
    </w:p>
    <w:p w14:paraId="4A9387D3">
      <w:pPr>
        <w:ind w:firstLine="640"/>
        <w:rPr>
          <w:rFonts w:hint="eastAsia" w:cs="仿宋_GB2312"/>
          <w:szCs w:val="21"/>
        </w:rPr>
      </w:pPr>
      <w:r>
        <w:rPr>
          <w:rFonts w:hint="eastAsia" w:cs="仿宋_GB2312"/>
          <w:szCs w:val="21"/>
        </w:rPr>
        <w:t>9.有权检查承包人投保情况，备案相应投保资料。</w:t>
      </w:r>
    </w:p>
    <w:p w14:paraId="18CE79FA">
      <w:pPr>
        <w:ind w:firstLine="640"/>
        <w:rPr>
          <w:rFonts w:hint="eastAsia" w:cs="仿宋_GB2312"/>
          <w:szCs w:val="21"/>
        </w:rPr>
      </w:pPr>
      <w:r>
        <w:rPr>
          <w:rFonts w:hint="eastAsia" w:cs="仿宋_GB2312"/>
          <w:szCs w:val="21"/>
        </w:rPr>
        <w:t>10.合同总价中已包含安全施工措施费，发包人有权检查承包人安全施工措施费的使用情况。</w:t>
      </w:r>
    </w:p>
    <w:p w14:paraId="442A3ADF">
      <w:pPr>
        <w:ind w:firstLine="640"/>
        <w:rPr>
          <w:rFonts w:hint="eastAsia" w:cs="仿宋_GB2312"/>
          <w:szCs w:val="21"/>
        </w:rPr>
      </w:pPr>
      <w:r>
        <w:rPr>
          <w:rFonts w:hint="eastAsia" w:cs="仿宋_GB2312"/>
          <w:szCs w:val="21"/>
        </w:rPr>
        <w:t>11.督促并落实承包人缴纳安全风险抵押金。</w:t>
      </w:r>
    </w:p>
    <w:p w14:paraId="232148B1">
      <w:pPr>
        <w:ind w:firstLine="643"/>
        <w:rPr>
          <w:rFonts w:hint="eastAsia" w:cs="仿宋_GB2312"/>
          <w:b/>
          <w:bCs/>
          <w:szCs w:val="21"/>
        </w:rPr>
      </w:pPr>
      <w:r>
        <w:rPr>
          <w:rFonts w:hint="eastAsia" w:cs="仿宋_GB2312"/>
          <w:b/>
          <w:bCs/>
          <w:szCs w:val="21"/>
        </w:rPr>
        <w:t>三、承包人的权利及义务</w:t>
      </w:r>
    </w:p>
    <w:p w14:paraId="4EEE734F">
      <w:pPr>
        <w:ind w:firstLine="640"/>
        <w:rPr>
          <w:rFonts w:hint="eastAsia" w:cs="仿宋_GB2312"/>
          <w:szCs w:val="21"/>
        </w:rPr>
      </w:pPr>
      <w:r>
        <w:rPr>
          <w:rFonts w:hint="eastAsia" w:cs="仿宋_GB2312"/>
          <w:szCs w:val="21"/>
        </w:rPr>
        <w:t>1.遵守国家有关安全生产法律法规，具备承揽该工程的相应资质等级。要在其资质范围内承接工程，规范组织施工作业，一律不得采用国家明令禁止的设备、工艺技术，不得以出租、挂靠等方式允许他人以本单位名义承接工程。承包人依法对施工现场安全生产负总责，建立现场安全生产管理体系，接受并服从发包单位的统一管理，加强分包工程安全管理。</w:t>
      </w:r>
    </w:p>
    <w:p w14:paraId="2CCA82B4">
      <w:pPr>
        <w:ind w:firstLine="640"/>
        <w:rPr>
          <w:rFonts w:hint="eastAsia" w:cs="仿宋_GB2312"/>
          <w:szCs w:val="21"/>
        </w:rPr>
      </w:pPr>
      <w:r>
        <w:rPr>
          <w:rFonts w:hint="eastAsia" w:cs="仿宋_GB2312"/>
          <w:szCs w:val="21"/>
        </w:rPr>
        <w:t>2.及时将相关资质证照等相应资料报发包人、监理人备案。</w:t>
      </w:r>
    </w:p>
    <w:p w14:paraId="70050788">
      <w:pPr>
        <w:ind w:firstLine="640"/>
        <w:rPr>
          <w:rFonts w:hint="eastAsia" w:cs="仿宋_GB2312"/>
          <w:szCs w:val="21"/>
        </w:rPr>
      </w:pPr>
      <w:r>
        <w:rPr>
          <w:rFonts w:hint="eastAsia" w:cs="仿宋_GB2312"/>
          <w:szCs w:val="21"/>
        </w:rPr>
        <w:t>3.承包人应按照法律、法规和工程建设强制性标准进行设计，防止因设计不合理导致生产安全事故的发生。</w:t>
      </w:r>
    </w:p>
    <w:p w14:paraId="0BFEEBF0">
      <w:pPr>
        <w:ind w:firstLine="640"/>
        <w:rPr>
          <w:rFonts w:hint="eastAsia" w:cs="仿宋_GB2312"/>
          <w:szCs w:val="21"/>
        </w:rPr>
      </w:pPr>
      <w:r>
        <w:rPr>
          <w:rFonts w:hint="eastAsia" w:cs="仿宋_GB2312"/>
          <w:szCs w:val="21"/>
        </w:rPr>
        <w:t>　　承包人应当考虑施工安全操作和防护的需要，对涉及施工安全的重点部位和环节在设计文件中注明，并对防范生产安全事故提出指导意见。</w:t>
      </w:r>
    </w:p>
    <w:p w14:paraId="4DAE0FA8">
      <w:pPr>
        <w:ind w:firstLine="640"/>
        <w:rPr>
          <w:rFonts w:hint="eastAsia" w:cs="仿宋_GB2312"/>
          <w:szCs w:val="21"/>
        </w:rPr>
      </w:pPr>
      <w:r>
        <w:rPr>
          <w:rFonts w:hint="eastAsia" w:cs="仿宋_GB2312"/>
          <w:szCs w:val="21"/>
        </w:rPr>
        <w:t>　　采用新结构、新材料、新工艺的建设工程和特殊结构的建设工程，承包人应当在设计中提出保障施工作业人员安全和预防生产安全事故的措施建议。</w:t>
      </w:r>
    </w:p>
    <w:p w14:paraId="299B8616">
      <w:pPr>
        <w:ind w:firstLine="640"/>
        <w:rPr>
          <w:rFonts w:hint="eastAsia" w:cs="仿宋_GB2312"/>
          <w:szCs w:val="21"/>
        </w:rPr>
      </w:pPr>
      <w:r>
        <w:rPr>
          <w:rFonts w:hint="eastAsia" w:cs="仿宋_GB2312"/>
          <w:szCs w:val="21"/>
        </w:rPr>
        <w:t>4.遵守济钢集团有限公司《相关方安全生产监督管理办法》等以及山东济钢环保新材料有限公司有关管理制度。</w:t>
      </w:r>
    </w:p>
    <w:p w14:paraId="4E73BC9A">
      <w:pPr>
        <w:ind w:firstLine="640"/>
        <w:rPr>
          <w:rFonts w:hint="eastAsia" w:cs="仿宋_GB2312"/>
          <w:szCs w:val="21"/>
        </w:rPr>
      </w:pPr>
      <w:r>
        <w:rPr>
          <w:rFonts w:hint="eastAsia" w:cs="仿宋_GB2312"/>
          <w:szCs w:val="21"/>
        </w:rPr>
        <w:t>5.承包人主要负责人依法对本单位的安全生产工作全面负责。承包人应当建立健全全员安全生产责任制度和安全生产教育培训制度，制定安全生产规章制度和操作规程以及全过程风险管控制度、安全隐患排查治理等制度。保证本单位安全生产条件所需资金的投入，对所承担的建设工程进行定期和专项安全检查，并做好安全检查记录。</w:t>
      </w:r>
    </w:p>
    <w:p w14:paraId="49174C24">
      <w:pPr>
        <w:ind w:firstLine="640"/>
        <w:rPr>
          <w:rFonts w:hint="eastAsia" w:cs="仿宋_GB2312"/>
          <w:szCs w:val="21"/>
        </w:rPr>
      </w:pPr>
      <w:r>
        <w:rPr>
          <w:rFonts w:hint="eastAsia" w:cs="仿宋_GB2312"/>
          <w:szCs w:val="21"/>
        </w:rPr>
        <w:t>　　承包人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14:paraId="1DD0E602">
      <w:pPr>
        <w:ind w:firstLine="640"/>
        <w:rPr>
          <w:rFonts w:hint="eastAsia" w:cs="仿宋_GB2312"/>
          <w:szCs w:val="21"/>
        </w:rPr>
      </w:pPr>
      <w:r>
        <w:rPr>
          <w:rFonts w:hint="eastAsia" w:cs="仿宋_GB2312"/>
          <w:szCs w:val="21"/>
        </w:rPr>
        <w:t>6.承包人对列入建设工程概算的安全作业环境及安全施工措施所需费用，应当用于施工安全防护用具及设施的采购和更新、安全施工措施的落实、安全生产条件的改善，不得挪作他用。</w:t>
      </w:r>
    </w:p>
    <w:p w14:paraId="7214A7E6">
      <w:pPr>
        <w:ind w:firstLine="640"/>
        <w:rPr>
          <w:rFonts w:hint="eastAsia" w:cs="仿宋_GB2312"/>
          <w:szCs w:val="21"/>
        </w:rPr>
      </w:pPr>
      <w:r>
        <w:rPr>
          <w:rFonts w:hint="eastAsia" w:cs="仿宋_GB2312"/>
          <w:szCs w:val="21"/>
        </w:rPr>
        <w:t>7.严格落实《企业安全生产费用提取和使用管理办法》(财资(2022)136号)。</w:t>
      </w:r>
    </w:p>
    <w:p w14:paraId="1D7A2635">
      <w:pPr>
        <w:ind w:firstLine="640"/>
        <w:rPr>
          <w:rFonts w:hint="eastAsia" w:cs="仿宋_GB2312"/>
          <w:szCs w:val="21"/>
        </w:rPr>
      </w:pPr>
      <w:r>
        <w:rPr>
          <w:rFonts w:hint="eastAsia" w:cs="仿宋_GB2312"/>
          <w:szCs w:val="21"/>
        </w:rPr>
        <w:t>8.设立安全生产管理机构，配备足够数量的专职安全生产管理人员。</w:t>
      </w:r>
    </w:p>
    <w:p w14:paraId="72187846">
      <w:pPr>
        <w:ind w:firstLine="640"/>
        <w:rPr>
          <w:rFonts w:hint="eastAsia" w:cs="仿宋_GB2312"/>
          <w:szCs w:val="21"/>
        </w:rPr>
      </w:pPr>
      <w:r>
        <w:rPr>
          <w:rFonts w:hint="eastAsia" w:cs="仿宋_GB2312"/>
          <w:szCs w:val="21"/>
        </w:rPr>
        <w:t>　　专职安全生产管理人员负责对安全生产进行现场监督检查。发现安全事故隐患，应当及时向项目负责人和安全生产管理机构以及发包人报告；对违章指挥、违章操作的，应当立即制止。</w:t>
      </w:r>
    </w:p>
    <w:p w14:paraId="2FCAF809">
      <w:pPr>
        <w:ind w:firstLine="640"/>
        <w:rPr>
          <w:rFonts w:hint="eastAsia" w:cs="仿宋_GB2312"/>
          <w:szCs w:val="21"/>
        </w:rPr>
      </w:pPr>
      <w:r>
        <w:rPr>
          <w:rFonts w:hint="eastAsia" w:cs="仿宋_GB2312"/>
          <w:szCs w:val="21"/>
        </w:rPr>
        <w:t>9.项目经理、安全管理人员和特种作业人员严格执行持证上岗制度，项目开工前应将有关资料报发包人备案。</w:t>
      </w:r>
    </w:p>
    <w:p w14:paraId="189A4C9C">
      <w:pPr>
        <w:ind w:firstLine="640"/>
        <w:rPr>
          <w:rFonts w:hint="eastAsia" w:cs="仿宋_GB2312"/>
          <w:szCs w:val="21"/>
        </w:rPr>
      </w:pPr>
      <w:r>
        <w:rPr>
          <w:rFonts w:hint="eastAsia" w:cs="仿宋_GB2312"/>
          <w:szCs w:val="21"/>
        </w:rPr>
        <w:t>10.承包人要对作业人员全部实行实名制管理，建立“一人一档”台账，内容包括人员信息、健康状况、持证情况、参与培训情况、考核记录等。外包单位作业人员发生变动时必须及时通知发包单位安全管理部门，并动态更新“一人一档”台账。</w:t>
      </w:r>
    </w:p>
    <w:p w14:paraId="7279C041">
      <w:pPr>
        <w:ind w:firstLine="640"/>
        <w:rPr>
          <w:rFonts w:hint="eastAsia" w:cs="仿宋_GB2312"/>
          <w:szCs w:val="21"/>
        </w:rPr>
      </w:pPr>
      <w:r>
        <w:rPr>
          <w:rFonts w:hint="eastAsia" w:cs="仿宋_GB2312"/>
          <w:szCs w:val="21"/>
        </w:rPr>
        <w:t>1</w:t>
      </w:r>
      <w:r>
        <w:rPr>
          <w:rFonts w:cs="仿宋_GB2312"/>
          <w:szCs w:val="21"/>
        </w:rPr>
        <w:t>1.</w:t>
      </w:r>
      <w:r>
        <w:rPr>
          <w:rFonts w:hint="eastAsia" w:cs="仿宋_GB2312"/>
          <w:szCs w:val="21"/>
        </w:rPr>
        <w:t>承包人应当在施工组织设计中，编制安全技术措施和施工现场临时用电方案。对危险性较大的分部分项工程，编制专项施工方案，并按照程序组织专家进行论证、报审。</w:t>
      </w:r>
    </w:p>
    <w:p w14:paraId="43D177AC">
      <w:pPr>
        <w:ind w:firstLine="640"/>
        <w:rPr>
          <w:rFonts w:hint="eastAsia" w:cs="仿宋_GB2312"/>
          <w:szCs w:val="21"/>
        </w:rPr>
      </w:pPr>
      <w:r>
        <w:rPr>
          <w:rFonts w:cs="仿宋_GB2312"/>
          <w:szCs w:val="21"/>
        </w:rPr>
        <w:t>12</w:t>
      </w:r>
      <w:r>
        <w:rPr>
          <w:rFonts w:hint="eastAsia" w:cs="仿宋_GB2312"/>
          <w:szCs w:val="21"/>
        </w:rPr>
        <w:t>．危险作业由专职安全生产管理人员进行现场旁站监督执行。</w:t>
      </w:r>
    </w:p>
    <w:p w14:paraId="55E8D747">
      <w:pPr>
        <w:ind w:firstLine="640"/>
        <w:rPr>
          <w:rFonts w:hint="eastAsia" w:cs="仿宋_GB2312"/>
          <w:szCs w:val="21"/>
        </w:rPr>
      </w:pPr>
      <w:r>
        <w:rPr>
          <w:rFonts w:hint="eastAsia" w:cs="仿宋_GB2312"/>
          <w:szCs w:val="21"/>
        </w:rPr>
        <w:t>13.开工前，承包人应制定施工人员安全教育培训计划，按计划组织教育培训，并建立培训档案。要针对外包施工项目对所有作业人员开展一次专项安全教育培训，发包单位要派员参加并监督指导。外包作业人员在执行施工作业任务时，承包单位不得擅自更换作业人员。特殊情况需要换人时，要征得发包单位同意，并对新上岗的从业人员进行上岗前的专项安全生产教育培训。施工人员未经安全施工教育培训合格，不得上岗作业。建设工程施工前，承包人负责项目管理的技术人员，应当对有关安全施工的技术要求向施工作业班组、作业人员作出详细说明，对员工进行安全技术交底，并由双方签字确认。</w:t>
      </w:r>
    </w:p>
    <w:p w14:paraId="609797CE">
      <w:pPr>
        <w:ind w:firstLine="640"/>
        <w:rPr>
          <w:rFonts w:hint="eastAsia" w:cs="仿宋_GB2312"/>
          <w:szCs w:val="21"/>
        </w:rPr>
      </w:pPr>
      <w:r>
        <w:rPr>
          <w:rFonts w:hint="eastAsia" w:cs="仿宋_GB2312"/>
          <w:szCs w:val="21"/>
        </w:rPr>
        <w:t>严格落实施工人员（包括新进场人员）三级（公司、项目、班组）安全教育培训制度，经逐级考核合格后，出具培训合格证方能上岗；不具备培训能力的，须经第三方有资质培训机构培训，取得考核合格证；岗前安全培训时间不得少于32学时。</w:t>
      </w:r>
    </w:p>
    <w:p w14:paraId="32A7B1F2">
      <w:pPr>
        <w:ind w:firstLine="640"/>
        <w:rPr>
          <w:rFonts w:hint="eastAsia" w:cs="仿宋_GB2312"/>
          <w:szCs w:val="21"/>
        </w:rPr>
      </w:pPr>
      <w:r>
        <w:rPr>
          <w:rFonts w:hint="eastAsia" w:cs="仿宋_GB2312"/>
          <w:szCs w:val="21"/>
        </w:rPr>
        <w:t>14.开工前，承包人应到政府有关部门办理施工自用的特种设备相关手续;办理特种设备建设开工前应有的手续;建立危险作业清单，进行大型设备吊装等危险作业，以及通讯、高压线等管线附近可能影响周围安全的作业，应将制定的具体施工方案和安全防范措施，经监理人审查签字后，报发包人备案，确定专人进行现场施工的统一指挥，并指定专职安全生产管理人员进行现场安全检查和监督。</w:t>
      </w:r>
    </w:p>
    <w:p w14:paraId="66627145">
      <w:pPr>
        <w:ind w:firstLine="640"/>
        <w:rPr>
          <w:rFonts w:hint="eastAsia" w:cs="仿宋_GB2312"/>
          <w:szCs w:val="21"/>
        </w:rPr>
      </w:pPr>
      <w:r>
        <w:rPr>
          <w:rFonts w:hint="eastAsia" w:cs="仿宋_GB2312"/>
          <w:szCs w:val="21"/>
        </w:rPr>
        <w:t>15.加强危险作业安全管控。承包人在进行吊装、动火、临时用电、挖掘、有限空间等危险作业，以及在有火灾、爆炸、触电、中毒窒息等事故风险的危险场所进行作业，要严格落实“作业票”审批管理制度，经发包人审核通过后实施，编制应急预案或现场处置方案，配备必要的应急处置装备物资。</w:t>
      </w:r>
    </w:p>
    <w:p w14:paraId="69A05488">
      <w:pPr>
        <w:ind w:firstLine="640"/>
        <w:rPr>
          <w:rFonts w:hint="eastAsia" w:cs="仿宋_GB2312"/>
          <w:szCs w:val="21"/>
        </w:rPr>
      </w:pPr>
      <w:r>
        <w:rPr>
          <w:rFonts w:hint="eastAsia" w:cs="仿宋_GB2312"/>
          <w:szCs w:val="21"/>
        </w:rPr>
        <w:t>16.垂直运输机械作业人员、登高架设作业人员等特种作业人员,必须按照国家有关规定经过专门的安全作业培训，并取得特种作业操作资格证书后，方可上岗作业。</w:t>
      </w:r>
    </w:p>
    <w:p w14:paraId="46D7D7E6">
      <w:pPr>
        <w:ind w:firstLine="640"/>
        <w:rPr>
          <w:rFonts w:hint="eastAsia" w:cs="仿宋_GB2312"/>
          <w:szCs w:val="21"/>
        </w:rPr>
      </w:pPr>
      <w:r>
        <w:rPr>
          <w:rFonts w:hint="eastAsia" w:cs="仿宋_GB2312"/>
          <w:szCs w:val="21"/>
        </w:rPr>
        <w:t>17.承包人应向本单位作业人员提供统一的、合格的安全防护用具和安全防护服装等个人防护用品，并书面告知危险岗位的操作规程和违章操作的危害。作业人员应当遵守安全施工的强制性标准、规章制度和操作规程，正确使用安全防护用具、机械设备等。</w:t>
      </w:r>
    </w:p>
    <w:p w14:paraId="61825B02">
      <w:pPr>
        <w:ind w:firstLine="640"/>
        <w:rPr>
          <w:rFonts w:hint="eastAsia" w:cs="仿宋_GB2312"/>
          <w:szCs w:val="21"/>
        </w:rPr>
      </w:pPr>
      <w:r>
        <w:rPr>
          <w:rFonts w:hint="eastAsia" w:cs="仿宋_GB2312"/>
          <w:szCs w:val="21"/>
        </w:rPr>
        <w:t>18.作业人员有权对施工现场的作业条件、作业程序和作业方式中存在的安全问题提出整改意见、批评、检举和控告，有权拒绝违章指挥和强令冒险作业。</w:t>
      </w:r>
    </w:p>
    <w:p w14:paraId="60EA4E5D">
      <w:pPr>
        <w:ind w:firstLine="640"/>
        <w:rPr>
          <w:rFonts w:hint="eastAsia" w:cs="仿宋_GB2312"/>
          <w:szCs w:val="21"/>
        </w:rPr>
      </w:pPr>
      <w:r>
        <w:rPr>
          <w:rFonts w:hint="eastAsia" w:cs="仿宋_GB2312"/>
          <w:szCs w:val="21"/>
        </w:rPr>
        <w:t>19.在施工中发生危及人身安全的紧急情况时，作业人员有权立即停止作业或者在采取必要的应急措施后撤离危险区域。</w:t>
      </w:r>
    </w:p>
    <w:p w14:paraId="17CD428B">
      <w:pPr>
        <w:ind w:firstLine="640"/>
        <w:rPr>
          <w:rFonts w:hint="eastAsia" w:cs="仿宋_GB2312"/>
          <w:szCs w:val="21"/>
        </w:rPr>
      </w:pPr>
      <w:r>
        <w:rPr>
          <w:rFonts w:hint="eastAsia" w:cs="仿宋_GB2312"/>
          <w:szCs w:val="21"/>
        </w:rPr>
        <w:t>20.在施工现场安装、拆卸施工起重机械和整体提升脚手架、模板等自升式架设设施，必须由具有相应资质的单位承担，承包人负责审核以上单位资质，组织验收，并将以上资料报发包人备案。</w:t>
      </w:r>
    </w:p>
    <w:p w14:paraId="387E9288">
      <w:pPr>
        <w:ind w:firstLine="640"/>
        <w:rPr>
          <w:rFonts w:hint="eastAsia" w:cs="仿宋_GB2312"/>
          <w:szCs w:val="21"/>
        </w:rPr>
      </w:pPr>
      <w:r>
        <w:rPr>
          <w:rFonts w:hint="eastAsia" w:cs="仿宋_GB2312"/>
          <w:szCs w:val="21"/>
        </w:rPr>
        <w:t>21.承包人应当在施工现场入口处、施工起重机械、临时用电设施、脚手架、出入通道口等危险部位，设置明显的安全警示标志。安全警示标志必须符合国家标准。</w:t>
      </w:r>
    </w:p>
    <w:p w14:paraId="6AC8428C">
      <w:pPr>
        <w:ind w:firstLine="640"/>
        <w:rPr>
          <w:rFonts w:hint="eastAsia" w:cs="仿宋_GB2312"/>
          <w:szCs w:val="21"/>
        </w:rPr>
      </w:pPr>
      <w:r>
        <w:rPr>
          <w:rFonts w:hint="eastAsia" w:cs="仿宋_GB2312"/>
          <w:szCs w:val="21"/>
        </w:rPr>
        <w:t>22.承包人应当根据不同施工阶段和周围环境及季节、气候的变化，在施工现场采取相应的安全施工措施。施工现场暂时停止施工的，应当做好现场防护。</w:t>
      </w:r>
    </w:p>
    <w:p w14:paraId="1FADD837">
      <w:pPr>
        <w:ind w:firstLine="640"/>
        <w:rPr>
          <w:rFonts w:hint="eastAsia" w:cs="仿宋_GB2312"/>
          <w:szCs w:val="21"/>
        </w:rPr>
      </w:pPr>
      <w:r>
        <w:rPr>
          <w:rFonts w:hint="eastAsia" w:cs="仿宋_GB2312"/>
          <w:szCs w:val="21"/>
        </w:rPr>
        <w:t>23.承包人应加强文明施工管理。</w:t>
      </w:r>
    </w:p>
    <w:p w14:paraId="6B4C8A6C">
      <w:pPr>
        <w:ind w:firstLine="640"/>
        <w:rPr>
          <w:rFonts w:hint="eastAsia" w:cs="仿宋_GB2312"/>
          <w:szCs w:val="21"/>
        </w:rPr>
      </w:pPr>
      <w:r>
        <w:rPr>
          <w:rFonts w:hint="eastAsia" w:cs="仿宋_GB2312"/>
          <w:szCs w:val="21"/>
        </w:rPr>
        <w:t>(1)施工现场的固体废弃物(建筑垃圾，工程渣土等)临时储运场地四周应设置1米以上且不低于堆土高度的遮挡围栏，并有防尘、灭蝇和防污水外流等防污染措施。</w:t>
      </w:r>
    </w:p>
    <w:p w14:paraId="72674645">
      <w:pPr>
        <w:ind w:firstLine="640"/>
        <w:rPr>
          <w:rFonts w:hint="eastAsia" w:cs="仿宋_GB2312"/>
          <w:szCs w:val="21"/>
        </w:rPr>
      </w:pPr>
      <w:r>
        <w:rPr>
          <w:rFonts w:hint="eastAsia" w:cs="仿宋_GB2312"/>
          <w:szCs w:val="21"/>
        </w:rPr>
        <w:t>(2)坚持文明施工，完善施工中防尘措施，严禁随意凌空抛洒垃圾杂物等野蛮作业，避免二次扬尘。</w:t>
      </w:r>
    </w:p>
    <w:p w14:paraId="7EFFBAC6">
      <w:pPr>
        <w:ind w:firstLine="640"/>
        <w:rPr>
          <w:rFonts w:hint="eastAsia" w:cs="仿宋_GB2312"/>
          <w:szCs w:val="21"/>
        </w:rPr>
      </w:pPr>
      <w:r>
        <w:rPr>
          <w:rFonts w:hint="eastAsia" w:cs="仿宋_GB2312"/>
          <w:szCs w:val="21"/>
        </w:rPr>
        <w:t>(3)严禁在人员集中区域焚烧沥青、油毡、橡胶、塑料、皮革以及其他能产生有毒、有害或恶臭气体的物质，特殊情况下需焚烧的，须经发包人同意后报当地主管部门批准。</w:t>
      </w:r>
    </w:p>
    <w:p w14:paraId="33AD4BEB">
      <w:pPr>
        <w:ind w:firstLine="640"/>
        <w:rPr>
          <w:rFonts w:hint="eastAsia" w:cs="仿宋_GB2312"/>
          <w:szCs w:val="21"/>
        </w:rPr>
      </w:pPr>
      <w:r>
        <w:rPr>
          <w:rFonts w:hint="eastAsia" w:cs="仿宋_GB2312"/>
          <w:szCs w:val="21"/>
        </w:rPr>
        <w:t>24.承包人要服从发包人的安全监督和管理，不违法转包工程项目，不违法用工，不违章指挥，不违章作业。</w:t>
      </w:r>
    </w:p>
    <w:p w14:paraId="1A46584E">
      <w:pPr>
        <w:ind w:firstLine="640"/>
        <w:rPr>
          <w:rFonts w:hint="eastAsia" w:cs="仿宋_GB2312"/>
          <w:szCs w:val="21"/>
        </w:rPr>
      </w:pPr>
      <w:r>
        <w:rPr>
          <w:rFonts w:hint="eastAsia" w:cs="仿宋_GB2312"/>
          <w:szCs w:val="21"/>
        </w:rPr>
        <w:t>25.根据主合同约定：承包人在组织施工前，应向发包人缴纳安全风险抵押金。工程合同执行完成后，发包人将扣除承包人违约处罚后，余额全部无息退还给承包人。施工期间若安全风险抵押金已扣除70%金额，但工程尚未交工，需在7日内补齐与原金额相同的安全风险抵押金。</w:t>
      </w:r>
    </w:p>
    <w:p w14:paraId="17B66B53">
      <w:pPr>
        <w:ind w:firstLine="640"/>
        <w:rPr>
          <w:rFonts w:hint="eastAsia" w:cs="仿宋_GB2312"/>
          <w:szCs w:val="21"/>
        </w:rPr>
      </w:pPr>
      <w:r>
        <w:rPr>
          <w:rFonts w:hint="eastAsia" w:cs="仿宋_GB2312"/>
          <w:szCs w:val="21"/>
        </w:rPr>
        <w:t>26.承包人施工现场应设置安全通道和消防救援通道。承包人对施工现场的消防安全全面负责。</w:t>
      </w:r>
    </w:p>
    <w:p w14:paraId="4C401177">
      <w:pPr>
        <w:ind w:firstLine="640"/>
        <w:rPr>
          <w:rFonts w:hint="eastAsia" w:cs="仿宋_GB2312"/>
          <w:szCs w:val="21"/>
        </w:rPr>
      </w:pPr>
      <w:r>
        <w:rPr>
          <w:rFonts w:hint="eastAsia" w:cs="仿宋_GB2312"/>
          <w:szCs w:val="21"/>
        </w:rPr>
        <w:t>27.承包人不得在工程施工现场设置生活临时设施，不得在工程施工现场设置加工场地和设施。</w:t>
      </w:r>
    </w:p>
    <w:p w14:paraId="50EAD28E">
      <w:pPr>
        <w:ind w:firstLine="640"/>
        <w:rPr>
          <w:rFonts w:hint="eastAsia" w:cs="仿宋_GB2312"/>
          <w:szCs w:val="21"/>
        </w:rPr>
      </w:pPr>
      <w:r>
        <w:rPr>
          <w:rFonts w:hint="eastAsia" w:cs="仿宋_GB2312"/>
          <w:szCs w:val="21"/>
        </w:rPr>
        <w:t>28.承包人发生安全事故，应当按照国家有关伤亡事故报告和调查处理的规定，及时、如实向事故发生地负有安全生产监督管理职责的部门以及发包人报告，并启动相应的应急预案，采取有效措施，组织抢救，防止事故扩大。发包人为承包人应急救援提供必要的条件，由此产生的费用由事故责任方承担。</w:t>
      </w:r>
    </w:p>
    <w:p w14:paraId="5B9C60A2">
      <w:pPr>
        <w:ind w:firstLine="640"/>
        <w:rPr>
          <w:rFonts w:hint="eastAsia" w:cs="仿宋_GB2312"/>
          <w:szCs w:val="21"/>
        </w:rPr>
      </w:pPr>
      <w:r>
        <w:rPr>
          <w:rFonts w:hint="eastAsia" w:cs="仿宋_GB2312"/>
          <w:szCs w:val="21"/>
        </w:rPr>
        <w:t>29.为规范工程建设过程的施工管理，承包人严格遵守本协议以及发包人安全管理相关规定内容，并承诺施工过程中严格按规范施工，如有承包人违规，发包人将按本协议条款以及发包人管理规定进行考核，承包人将承担全部责任和考核。</w:t>
      </w:r>
    </w:p>
    <w:p w14:paraId="1D1F1E42">
      <w:pPr>
        <w:ind w:firstLine="643"/>
        <w:rPr>
          <w:rFonts w:hint="eastAsia" w:cs="仿宋_GB2312"/>
          <w:szCs w:val="21"/>
        </w:rPr>
      </w:pPr>
      <w:r>
        <w:rPr>
          <w:rFonts w:hint="eastAsia" w:cs="黑体"/>
          <w:b/>
          <w:bCs/>
          <w:szCs w:val="21"/>
        </w:rPr>
        <w:t>四、</w:t>
      </w:r>
      <w:r>
        <w:rPr>
          <w:rFonts w:cs="仿宋_GB2312"/>
          <w:szCs w:val="21"/>
        </w:rPr>
        <w:t>违约责任与处罚</w:t>
      </w:r>
    </w:p>
    <w:p w14:paraId="03C9B418">
      <w:pPr>
        <w:rPr>
          <w:rFonts w:hint="eastAsia" w:cs="仿宋_GB2312"/>
          <w:szCs w:val="21"/>
        </w:rPr>
      </w:pPr>
      <w:r>
        <w:rPr>
          <w:rFonts w:hint="eastAsia" w:cs="仿宋_GB2312"/>
          <w:szCs w:val="21"/>
        </w:rPr>
        <w:t>1、</w:t>
      </w:r>
      <w:r>
        <w:rPr>
          <w:rFonts w:cs="仿宋_GB2312"/>
          <w:szCs w:val="21"/>
        </w:rPr>
        <w:t>重大违约解除合同</w:t>
      </w:r>
      <w:r>
        <w:rPr>
          <w:rFonts w:cs="仿宋_GB2312"/>
          <w:szCs w:val="21"/>
        </w:rPr>
        <w:br w:type="textWrapping"/>
      </w:r>
      <w:r>
        <w:rPr>
          <w:rFonts w:cs="仿宋_GB2312"/>
          <w:szCs w:val="21"/>
        </w:rPr>
        <w:t>承包人有下列行为之一的，发包人有权责令其停工整改，并有权单方解除合同，同时承包人须承担由此造成的一切损失：</w:t>
      </w:r>
      <w:r>
        <w:rPr>
          <w:rFonts w:cs="仿宋_GB2312"/>
          <w:szCs w:val="21"/>
        </w:rPr>
        <w:br w:type="textWrapping"/>
      </w:r>
      <w:r>
        <w:rPr>
          <w:rFonts w:cs="仿宋_GB2312"/>
          <w:szCs w:val="21"/>
        </w:rPr>
        <w:t>(1) 弄虚作假，伪造安全资质和手续的。</w:t>
      </w:r>
      <w:r>
        <w:rPr>
          <w:rFonts w:cs="仿宋_GB2312"/>
          <w:szCs w:val="21"/>
        </w:rPr>
        <w:br w:type="textWrapping"/>
      </w:r>
      <w:r>
        <w:rPr>
          <w:rFonts w:cs="仿宋_GB2312"/>
          <w:szCs w:val="21"/>
        </w:rPr>
        <w:t>(2) 发生重伤及以上安全事故，隐瞒不报或不按法定程序处理的。</w:t>
      </w:r>
      <w:r>
        <w:rPr>
          <w:rFonts w:cs="仿宋_GB2312"/>
          <w:szCs w:val="21"/>
        </w:rPr>
        <w:br w:type="textWrapping"/>
      </w:r>
      <w:r>
        <w:rPr>
          <w:rFonts w:cs="仿宋_GB2312"/>
          <w:szCs w:val="21"/>
        </w:rPr>
        <w:t>(3) 施工过程中出现重大质量问题，造成严重事故隐患的。</w:t>
      </w:r>
    </w:p>
    <w:p w14:paraId="160CCFC3">
      <w:pPr>
        <w:rPr>
          <w:rFonts w:hint="eastAsia" w:cs="仿宋_GB2312"/>
          <w:szCs w:val="21"/>
        </w:rPr>
      </w:pPr>
      <w:r>
        <w:rPr>
          <w:rFonts w:hint="eastAsia" w:cs="仿宋_GB2312"/>
          <w:szCs w:val="21"/>
        </w:rPr>
        <w:t>2、</w:t>
      </w:r>
      <w:r>
        <w:rPr>
          <w:rFonts w:cs="仿宋_GB2312"/>
          <w:szCs w:val="21"/>
        </w:rPr>
        <w:t>严重违约经济处罚</w:t>
      </w:r>
      <w:r>
        <w:rPr>
          <w:rFonts w:cs="仿宋_GB2312"/>
          <w:szCs w:val="21"/>
        </w:rPr>
        <w:br w:type="textWrapping"/>
      </w:r>
      <w:r>
        <w:rPr>
          <w:rFonts w:cs="仿宋_GB2312"/>
          <w:szCs w:val="21"/>
        </w:rPr>
        <w:t>承包人有下列行为之一的，发包人有权责令其限期整改，并处以人民币1000元至10000元的违约金。该款项将从当期应付工程进度款中直接扣除；若工程已结算完毕，承包人应在收到处罚通知后7日内以</w:t>
      </w:r>
      <w:r>
        <w:rPr>
          <w:rFonts w:hint="eastAsia" w:cs="仿宋_GB2312"/>
          <w:szCs w:val="21"/>
        </w:rPr>
        <w:t>电汇</w:t>
      </w:r>
      <w:r>
        <w:rPr>
          <w:rFonts w:cs="仿宋_GB2312"/>
          <w:szCs w:val="21"/>
        </w:rPr>
        <w:t>形式支付：</w:t>
      </w:r>
      <w:r>
        <w:rPr>
          <w:rFonts w:cs="仿宋_GB2312"/>
          <w:szCs w:val="21"/>
        </w:rPr>
        <w:br w:type="textWrapping"/>
      </w:r>
      <w:r>
        <w:rPr>
          <w:rFonts w:cs="仿宋_GB2312"/>
          <w:szCs w:val="21"/>
        </w:rPr>
        <w:t>(1) 将所承包的工程项目非法转包</w:t>
      </w:r>
      <w:r>
        <w:rPr>
          <w:rFonts w:hint="eastAsia" w:cs="仿宋_GB2312"/>
          <w:szCs w:val="21"/>
        </w:rPr>
        <w:t>、</w:t>
      </w:r>
      <w:r>
        <w:rPr>
          <w:rFonts w:cs="仿宋_GB2312"/>
          <w:szCs w:val="21"/>
        </w:rPr>
        <w:t>分包的。</w:t>
      </w:r>
      <w:r>
        <w:rPr>
          <w:rFonts w:cs="仿宋_GB2312"/>
          <w:szCs w:val="21"/>
        </w:rPr>
        <w:br w:type="textWrapping"/>
      </w:r>
      <w:r>
        <w:rPr>
          <w:rFonts w:cs="仿宋_GB2312"/>
          <w:szCs w:val="21"/>
        </w:rPr>
        <w:t>(2) 使用未经查验或查验不合格的安全防护用具、机械设备、施工机具的。</w:t>
      </w:r>
      <w:r>
        <w:rPr>
          <w:rFonts w:cs="仿宋_GB2312"/>
          <w:szCs w:val="21"/>
        </w:rPr>
        <w:br w:type="textWrapping"/>
      </w:r>
      <w:r>
        <w:rPr>
          <w:rFonts w:cs="仿宋_GB2312"/>
          <w:szCs w:val="21"/>
        </w:rPr>
        <w:t>(3) 相关人员未经安全教育培训或考核不合格即上岗作业的。</w:t>
      </w:r>
      <w:r>
        <w:rPr>
          <w:rFonts w:cs="仿宋_GB2312"/>
          <w:szCs w:val="21"/>
        </w:rPr>
        <w:br w:type="textWrapping"/>
      </w:r>
      <w:r>
        <w:rPr>
          <w:rFonts w:cs="仿宋_GB2312"/>
          <w:szCs w:val="21"/>
        </w:rPr>
        <w:t>(4) 未在施工现场危险部位设置明显安全警示标志的。</w:t>
      </w:r>
      <w:r>
        <w:rPr>
          <w:rFonts w:cs="仿宋_GB2312"/>
          <w:szCs w:val="21"/>
        </w:rPr>
        <w:br w:type="textWrapping"/>
      </w:r>
      <w:r>
        <w:rPr>
          <w:rFonts w:cs="仿宋_GB2312"/>
          <w:szCs w:val="21"/>
        </w:rPr>
        <w:t>(5) 未向作业人员提供合格安全防护用品的。</w:t>
      </w:r>
    </w:p>
    <w:p w14:paraId="4DCBD942">
      <w:pPr>
        <w:rPr>
          <w:rFonts w:hint="eastAsia" w:cs="仿宋_GB2312"/>
          <w:szCs w:val="21"/>
        </w:rPr>
      </w:pPr>
      <w:r>
        <w:rPr>
          <w:rFonts w:hint="eastAsia" w:cs="仿宋_GB2312"/>
          <w:szCs w:val="21"/>
        </w:rPr>
        <w:t>3、</w:t>
      </w:r>
      <w:r>
        <w:rPr>
          <w:rFonts w:cs="仿宋_GB2312"/>
          <w:szCs w:val="21"/>
        </w:rPr>
        <w:t>一般违约经济处罚</w:t>
      </w:r>
      <w:r>
        <w:rPr>
          <w:rFonts w:cs="仿宋_GB2312"/>
          <w:szCs w:val="21"/>
        </w:rPr>
        <w:br w:type="textWrapping"/>
      </w:r>
      <w:r>
        <w:rPr>
          <w:rFonts w:cs="仿宋_GB2312"/>
          <w:szCs w:val="21"/>
        </w:rPr>
        <w:t>承包人有下列行为之一的，发包人有权责令其限期整改，并处以人民币500元至5000元的违约金。该款项将从当期应付工程进度款中直接扣除：</w:t>
      </w:r>
      <w:r>
        <w:rPr>
          <w:rFonts w:cs="仿宋_GB2312"/>
          <w:szCs w:val="21"/>
        </w:rPr>
        <w:br w:type="textWrapping"/>
      </w:r>
      <w:r>
        <w:rPr>
          <w:rFonts w:cs="仿宋_GB2312"/>
          <w:szCs w:val="21"/>
        </w:rPr>
        <w:t>(1) 现场出现违章指挥、违章作业、违反劳动纪律行为的。</w:t>
      </w:r>
      <w:r>
        <w:rPr>
          <w:rFonts w:cs="仿宋_GB2312"/>
          <w:szCs w:val="21"/>
        </w:rPr>
        <w:br w:type="textWrapping"/>
      </w:r>
      <w:r>
        <w:rPr>
          <w:rFonts w:cs="仿宋_GB2312"/>
          <w:szCs w:val="21"/>
        </w:rPr>
        <w:t>(2) 对发包人或监理指出的安全隐患整改不及时、不到位的。</w:t>
      </w:r>
      <w:r>
        <w:rPr>
          <w:rFonts w:cs="仿宋_GB2312"/>
          <w:szCs w:val="21"/>
        </w:rPr>
        <w:br w:type="textWrapping"/>
      </w:r>
      <w:r>
        <w:rPr>
          <w:rFonts w:cs="仿宋_GB2312"/>
          <w:szCs w:val="21"/>
        </w:rPr>
        <w:t>(3) 违反发包人现场安全管理规章制度的。</w:t>
      </w:r>
    </w:p>
    <w:p w14:paraId="2EDFD2EE">
      <w:pPr>
        <w:rPr>
          <w:rFonts w:hint="eastAsia" w:cs="仿宋_GB2312"/>
          <w:szCs w:val="21"/>
        </w:rPr>
      </w:pPr>
      <w:r>
        <w:rPr>
          <w:rFonts w:hint="eastAsia" w:cs="仿宋_GB2312"/>
          <w:szCs w:val="21"/>
        </w:rPr>
        <w:t>4、</w:t>
      </w:r>
      <w:r>
        <w:rPr>
          <w:rFonts w:cs="仿宋_GB2312"/>
          <w:szCs w:val="21"/>
        </w:rPr>
        <w:t>事故专项处罚</w:t>
      </w:r>
      <w:r>
        <w:rPr>
          <w:rFonts w:cs="仿宋_GB2312"/>
          <w:szCs w:val="21"/>
        </w:rPr>
        <w:br w:type="textWrapping"/>
      </w:r>
      <w:r>
        <w:rPr>
          <w:rFonts w:cs="仿宋_GB2312"/>
          <w:szCs w:val="21"/>
        </w:rPr>
        <w:t>协议履行期间发生安全事故的，除按国家规定承担相应责任外，承包人还应向发包人支付专项违约金，该款项同样从工程款中抵扣：</w:t>
      </w:r>
      <w:r>
        <w:rPr>
          <w:rFonts w:cs="仿宋_GB2312"/>
          <w:szCs w:val="21"/>
        </w:rPr>
        <w:br w:type="textWrapping"/>
      </w:r>
      <w:r>
        <w:rPr>
          <w:rFonts w:cs="仿宋_GB2312"/>
          <w:szCs w:val="21"/>
        </w:rPr>
        <w:t>(1) 发生轻伤事故或重大险肇事故，每次处罚违约金1000元。</w:t>
      </w:r>
      <w:r>
        <w:rPr>
          <w:rFonts w:cs="仿宋_GB2312"/>
          <w:szCs w:val="21"/>
        </w:rPr>
        <w:br w:type="textWrapping"/>
      </w:r>
      <w:r>
        <w:rPr>
          <w:rFonts w:cs="仿宋_GB2312"/>
          <w:szCs w:val="21"/>
        </w:rPr>
        <w:t>(2) 发生重伤事故，每次处罚违约金10000元。</w:t>
      </w:r>
      <w:r>
        <w:rPr>
          <w:rFonts w:cs="仿宋_GB2312"/>
          <w:szCs w:val="21"/>
        </w:rPr>
        <w:br w:type="textWrapping"/>
      </w:r>
      <w:r>
        <w:rPr>
          <w:rFonts w:cs="仿宋_GB2312"/>
          <w:szCs w:val="21"/>
        </w:rPr>
        <w:t>(3) 发生工亡事故，每次处罚违约金200000元。</w:t>
      </w:r>
      <w:r>
        <w:rPr>
          <w:rFonts w:cs="仿宋_GB2312"/>
          <w:szCs w:val="21"/>
        </w:rPr>
        <w:br w:type="textWrapping"/>
      </w:r>
      <w:r>
        <w:rPr>
          <w:rFonts w:cs="仿宋_GB2312"/>
          <w:szCs w:val="21"/>
        </w:rPr>
        <w:t>(4) 对安全隐患整改指令拖延或拒不执行的，每次处罚违约金500-2000元，情节严重者加倍处罚。</w:t>
      </w:r>
    </w:p>
    <w:p w14:paraId="0D6DE127">
      <w:pPr>
        <w:ind w:firstLine="640"/>
        <w:rPr>
          <w:rFonts w:hint="eastAsia" w:cs="仿宋_GB2312"/>
          <w:szCs w:val="21"/>
        </w:rPr>
      </w:pPr>
      <w:r>
        <w:rPr>
          <w:rFonts w:hint="eastAsia" w:cs="仿宋_GB2312"/>
          <w:szCs w:val="21"/>
        </w:rPr>
        <w:t>5.现场安全检查及处罚明细表。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5853"/>
        <w:gridCol w:w="1739"/>
      </w:tblGrid>
      <w:tr w14:paraId="7750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B6342B9">
            <w:pPr>
              <w:rPr>
                <w:rFonts w:hint="eastAsia"/>
                <w:szCs w:val="21"/>
              </w:rPr>
            </w:pPr>
            <w:r>
              <w:rPr>
                <w:rFonts w:hint="eastAsia"/>
                <w:szCs w:val="21"/>
              </w:rPr>
              <w:t>处罚项目</w:t>
            </w:r>
          </w:p>
        </w:tc>
        <w:tc>
          <w:tcPr>
            <w:tcW w:w="5853" w:type="dxa"/>
            <w:vAlign w:val="center"/>
          </w:tcPr>
          <w:p w14:paraId="3A039DD5">
            <w:pPr>
              <w:rPr>
                <w:rFonts w:hint="eastAsia"/>
                <w:szCs w:val="21"/>
              </w:rPr>
            </w:pPr>
            <w:r>
              <w:rPr>
                <w:rFonts w:hint="eastAsia"/>
                <w:szCs w:val="21"/>
              </w:rPr>
              <w:t>处罚内容</w:t>
            </w:r>
          </w:p>
        </w:tc>
        <w:tc>
          <w:tcPr>
            <w:tcW w:w="0" w:type="auto"/>
            <w:vAlign w:val="center"/>
          </w:tcPr>
          <w:p w14:paraId="37CABA10">
            <w:pPr>
              <w:rPr>
                <w:rFonts w:hint="eastAsia"/>
                <w:szCs w:val="21"/>
              </w:rPr>
            </w:pPr>
            <w:r>
              <w:rPr>
                <w:rFonts w:hint="eastAsia"/>
                <w:szCs w:val="21"/>
              </w:rPr>
              <w:t>处罚标准</w:t>
            </w:r>
          </w:p>
        </w:tc>
      </w:tr>
      <w:tr w14:paraId="422C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721A8A40">
            <w:pPr>
              <w:rPr>
                <w:rFonts w:hint="eastAsia"/>
                <w:szCs w:val="21"/>
              </w:rPr>
            </w:pPr>
            <w:r>
              <w:rPr>
                <w:rFonts w:hint="eastAsia"/>
                <w:szCs w:val="21"/>
              </w:rPr>
              <w:t>防护用品</w:t>
            </w:r>
          </w:p>
        </w:tc>
        <w:tc>
          <w:tcPr>
            <w:tcW w:w="5853" w:type="dxa"/>
            <w:vAlign w:val="center"/>
          </w:tcPr>
          <w:p w14:paraId="7F36BC25">
            <w:pPr>
              <w:rPr>
                <w:rFonts w:hint="eastAsia"/>
                <w:szCs w:val="21"/>
              </w:rPr>
            </w:pPr>
            <w:r>
              <w:rPr>
                <w:rFonts w:hint="eastAsia"/>
                <w:szCs w:val="21"/>
              </w:rPr>
              <w:t>安全管理人员佩戴醒目的安全管理标识;施工单位员工着装统一，安全帽、工作服、工作鞋符合法规要求;无混穿和敞怀、安全帽不系带、穿便鞋。</w:t>
            </w:r>
          </w:p>
        </w:tc>
        <w:tc>
          <w:tcPr>
            <w:tcW w:w="0" w:type="auto"/>
            <w:vAlign w:val="center"/>
          </w:tcPr>
          <w:p w14:paraId="71DCE43B">
            <w:pPr>
              <w:rPr>
                <w:rFonts w:hint="eastAsia"/>
                <w:szCs w:val="21"/>
              </w:rPr>
            </w:pPr>
            <w:r>
              <w:rPr>
                <w:rFonts w:hint="eastAsia"/>
                <w:szCs w:val="21"/>
              </w:rPr>
              <w:t>一项不符合要求，处罚责任单位500-5000元。</w:t>
            </w:r>
          </w:p>
        </w:tc>
      </w:tr>
      <w:tr w14:paraId="795B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2C20C00">
            <w:pPr>
              <w:rPr>
                <w:rFonts w:hint="eastAsia"/>
                <w:szCs w:val="21"/>
              </w:rPr>
            </w:pPr>
          </w:p>
        </w:tc>
        <w:tc>
          <w:tcPr>
            <w:tcW w:w="5853" w:type="dxa"/>
            <w:vAlign w:val="center"/>
          </w:tcPr>
          <w:p w14:paraId="295345A7">
            <w:pPr>
              <w:rPr>
                <w:rFonts w:hint="eastAsia"/>
                <w:szCs w:val="21"/>
              </w:rPr>
            </w:pPr>
            <w:r>
              <w:rPr>
                <w:rFonts w:hint="eastAsia"/>
                <w:szCs w:val="21"/>
              </w:rPr>
              <w:t>焊工着装整齐，带焊工手套，使用面罩(护目镜);以下作业禁止带手套:使用手锤和大锤、使用钻床和车床;以下作业必须带手套:运输、搬运、钢筋绑扎、扎架子、机械作业;使用钻床和车床、砂轮机、机械切割等作业必须戴护目镜。</w:t>
            </w:r>
          </w:p>
        </w:tc>
        <w:tc>
          <w:tcPr>
            <w:tcW w:w="0" w:type="auto"/>
            <w:vAlign w:val="center"/>
          </w:tcPr>
          <w:p w14:paraId="7AA3CF7C">
            <w:pPr>
              <w:rPr>
                <w:rFonts w:hint="eastAsia"/>
                <w:szCs w:val="21"/>
              </w:rPr>
            </w:pPr>
            <w:r>
              <w:rPr>
                <w:rFonts w:hint="eastAsia"/>
                <w:szCs w:val="21"/>
              </w:rPr>
              <w:t>一项不符合要求，处罚责任单位1000-5000元。</w:t>
            </w:r>
          </w:p>
        </w:tc>
      </w:tr>
      <w:tr w14:paraId="7DC5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52F85B95">
            <w:pPr>
              <w:rPr>
                <w:rFonts w:hint="eastAsia"/>
                <w:szCs w:val="21"/>
              </w:rPr>
            </w:pPr>
            <w:r>
              <w:rPr>
                <w:rFonts w:hint="eastAsia"/>
                <w:szCs w:val="21"/>
              </w:rPr>
              <w:t>安全文明施工</w:t>
            </w:r>
          </w:p>
        </w:tc>
        <w:tc>
          <w:tcPr>
            <w:tcW w:w="5853" w:type="dxa"/>
            <w:vAlign w:val="center"/>
          </w:tcPr>
          <w:p w14:paraId="1CDE4729">
            <w:pPr>
              <w:rPr>
                <w:rFonts w:hint="eastAsia"/>
                <w:szCs w:val="21"/>
              </w:rPr>
            </w:pPr>
            <w:r>
              <w:rPr>
                <w:rFonts w:hint="eastAsia"/>
                <w:szCs w:val="21"/>
              </w:rPr>
              <w:t>现场按规定设置安全提示、警示标志;建立安全通道并保持畅通;场地物料摆放有序、整洁，有标志;施工垃圾清运及时;作业现场无污水、油污、垃圾;车辆运输无洒料、扬尘;现场应有施工示意图、安全要求等;应有饮水供应点和临时卫生间。施工人员不得在现场居住。</w:t>
            </w:r>
          </w:p>
        </w:tc>
        <w:tc>
          <w:tcPr>
            <w:tcW w:w="0" w:type="auto"/>
            <w:vAlign w:val="center"/>
          </w:tcPr>
          <w:p w14:paraId="165CB62E">
            <w:pPr>
              <w:rPr>
                <w:rFonts w:hint="eastAsia"/>
                <w:szCs w:val="21"/>
              </w:rPr>
            </w:pPr>
            <w:r>
              <w:rPr>
                <w:rFonts w:hint="eastAsia"/>
                <w:szCs w:val="21"/>
              </w:rPr>
              <w:t>一项不符合要求，处罚责任单位1000-5000元。</w:t>
            </w:r>
          </w:p>
        </w:tc>
      </w:tr>
      <w:tr w14:paraId="3EEE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718C806">
            <w:pPr>
              <w:rPr>
                <w:rFonts w:hint="eastAsia"/>
                <w:szCs w:val="21"/>
              </w:rPr>
            </w:pPr>
            <w:r>
              <w:rPr>
                <w:rFonts w:hint="eastAsia"/>
                <w:szCs w:val="21"/>
              </w:rPr>
              <w:t>安全用电</w:t>
            </w:r>
          </w:p>
        </w:tc>
        <w:tc>
          <w:tcPr>
            <w:tcW w:w="5853" w:type="dxa"/>
            <w:vAlign w:val="center"/>
          </w:tcPr>
          <w:p w14:paraId="7CBE4759">
            <w:pPr>
              <w:rPr>
                <w:rFonts w:hint="eastAsia"/>
                <w:szCs w:val="21"/>
              </w:rPr>
            </w:pPr>
            <w:r>
              <w:rPr>
                <w:rFonts w:hint="eastAsia"/>
                <w:szCs w:val="21"/>
              </w:rPr>
              <w:t>临时电缆(电源线)的布设应:无碾压、摩擦、碰撞和高温的损害;配电盘、柜位置合适，铁质柜应有接零保护;现场电气设施应有防雨措施;开关无缺损，保险符合要求;无裸露线头，无违章接线;配电盘内严禁一个开关接多路负荷线路;配电室、配电盘应落实“停电挂牌”和“禁止操作”挂牌制度，有记录:手持电动工具应使用触电保护器:照明设施的线路无碾压、摩擦、和高温的损害，灯头可靠固定。</w:t>
            </w:r>
          </w:p>
        </w:tc>
        <w:tc>
          <w:tcPr>
            <w:tcW w:w="0" w:type="auto"/>
            <w:vAlign w:val="center"/>
          </w:tcPr>
          <w:p w14:paraId="2AC411E0">
            <w:pPr>
              <w:rPr>
                <w:rFonts w:hint="eastAsia"/>
                <w:szCs w:val="21"/>
              </w:rPr>
            </w:pPr>
            <w:r>
              <w:rPr>
                <w:rFonts w:hint="eastAsia"/>
                <w:szCs w:val="21"/>
              </w:rPr>
              <w:t>一项不符合要求，处罚责任单位1000-5000元。</w:t>
            </w:r>
          </w:p>
        </w:tc>
      </w:tr>
      <w:tr w14:paraId="0372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61555308">
            <w:pPr>
              <w:rPr>
                <w:rFonts w:hint="eastAsia"/>
                <w:szCs w:val="21"/>
              </w:rPr>
            </w:pPr>
          </w:p>
        </w:tc>
        <w:tc>
          <w:tcPr>
            <w:tcW w:w="5853" w:type="dxa"/>
            <w:vAlign w:val="center"/>
          </w:tcPr>
          <w:p w14:paraId="215F44AE">
            <w:pPr>
              <w:rPr>
                <w:rFonts w:hint="eastAsia"/>
                <w:szCs w:val="21"/>
              </w:rPr>
            </w:pPr>
            <w:r>
              <w:rPr>
                <w:rFonts w:hint="eastAsia"/>
                <w:szCs w:val="21"/>
              </w:rPr>
              <w:t>非电工人员，严禁处理接线、更换保险和处理电气设施故障:应有专人负责电气设施维护</w:t>
            </w:r>
          </w:p>
        </w:tc>
        <w:tc>
          <w:tcPr>
            <w:tcW w:w="0" w:type="auto"/>
            <w:vAlign w:val="center"/>
          </w:tcPr>
          <w:p w14:paraId="5EDA9AD4">
            <w:pPr>
              <w:rPr>
                <w:rFonts w:hint="eastAsia"/>
                <w:szCs w:val="21"/>
              </w:rPr>
            </w:pPr>
            <w:r>
              <w:rPr>
                <w:rFonts w:hint="eastAsia"/>
                <w:szCs w:val="21"/>
              </w:rPr>
              <w:t>一项不符合要求，处罚责任单位1000-5000元。</w:t>
            </w:r>
          </w:p>
        </w:tc>
      </w:tr>
      <w:tr w14:paraId="06B6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61424427">
            <w:pPr>
              <w:rPr>
                <w:rFonts w:hint="eastAsia"/>
                <w:szCs w:val="21"/>
              </w:rPr>
            </w:pPr>
            <w:r>
              <w:rPr>
                <w:rFonts w:hint="eastAsia"/>
                <w:szCs w:val="21"/>
              </w:rPr>
              <w:t>高处作业</w:t>
            </w:r>
          </w:p>
        </w:tc>
        <w:tc>
          <w:tcPr>
            <w:tcW w:w="5853" w:type="dxa"/>
            <w:vAlign w:val="center"/>
          </w:tcPr>
          <w:p w14:paraId="463D8806">
            <w:pPr>
              <w:rPr>
                <w:rFonts w:hint="eastAsia"/>
                <w:szCs w:val="21"/>
              </w:rPr>
            </w:pPr>
            <w:r>
              <w:rPr>
                <w:rFonts w:hint="eastAsia"/>
                <w:szCs w:val="21"/>
              </w:rPr>
              <w:t>领工者向作业人员交代安全要点;着装符合要求，高空作业用具符合要求;严禁向下抛扔物件;危险作业应在地面设警示标志和设专人监护;立体交叉作业时，为防落物伤人，下层应采取防护措施，要设专人监护。</w:t>
            </w:r>
          </w:p>
        </w:tc>
        <w:tc>
          <w:tcPr>
            <w:tcW w:w="0" w:type="auto"/>
            <w:vAlign w:val="center"/>
          </w:tcPr>
          <w:p w14:paraId="419831AF">
            <w:pPr>
              <w:rPr>
                <w:rFonts w:hint="eastAsia"/>
                <w:szCs w:val="21"/>
              </w:rPr>
            </w:pPr>
            <w:r>
              <w:rPr>
                <w:rFonts w:hint="eastAsia"/>
                <w:szCs w:val="21"/>
              </w:rPr>
              <w:t>一项不符合要求，处罚责任单位2000-6000元。</w:t>
            </w:r>
          </w:p>
        </w:tc>
      </w:tr>
      <w:tr w14:paraId="488A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320E05B2">
            <w:pPr>
              <w:rPr>
                <w:rFonts w:hint="eastAsia"/>
                <w:szCs w:val="21"/>
              </w:rPr>
            </w:pPr>
          </w:p>
        </w:tc>
        <w:tc>
          <w:tcPr>
            <w:tcW w:w="5853" w:type="dxa"/>
            <w:vAlign w:val="center"/>
          </w:tcPr>
          <w:p w14:paraId="5EFD55DA">
            <w:pPr>
              <w:rPr>
                <w:rFonts w:hint="eastAsia"/>
                <w:szCs w:val="21"/>
              </w:rPr>
            </w:pPr>
            <w:r>
              <w:rPr>
                <w:rFonts w:hint="eastAsia"/>
                <w:szCs w:val="21"/>
              </w:rPr>
              <w:t>脚手架应搭设牢固、无歪斜;架板应无断裂、两头捆扎、无窜动;临时作业平台应设安全围栏;安全带应高挂低用;安全带无挂点时，应焊接临时挂点，无法设置挂点时，应设置钢质安全绳索，安全带挂在安全绳索上;高处移动时，应采取可靠措施防止人员坠落;安全网的悬挂应符合安全要求;架子作业平台外侧的水平防护杆，上下间隔应小于0.6米;</w:t>
            </w:r>
          </w:p>
        </w:tc>
        <w:tc>
          <w:tcPr>
            <w:tcW w:w="0" w:type="auto"/>
            <w:vAlign w:val="center"/>
          </w:tcPr>
          <w:p w14:paraId="37D38462">
            <w:pPr>
              <w:rPr>
                <w:rFonts w:hint="eastAsia"/>
                <w:szCs w:val="21"/>
              </w:rPr>
            </w:pPr>
            <w:r>
              <w:rPr>
                <w:rFonts w:hint="eastAsia"/>
                <w:szCs w:val="21"/>
              </w:rPr>
              <w:t>一项不符合要求，处罚责任单位1000-6000元。</w:t>
            </w:r>
          </w:p>
        </w:tc>
      </w:tr>
      <w:tr w14:paraId="77E5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0040D4AA">
            <w:pPr>
              <w:rPr>
                <w:rFonts w:hint="eastAsia"/>
                <w:szCs w:val="21"/>
              </w:rPr>
            </w:pPr>
          </w:p>
        </w:tc>
        <w:tc>
          <w:tcPr>
            <w:tcW w:w="5853" w:type="dxa"/>
            <w:vAlign w:val="center"/>
          </w:tcPr>
          <w:p w14:paraId="522B23E5">
            <w:pPr>
              <w:rPr>
                <w:rFonts w:hint="eastAsia"/>
                <w:szCs w:val="21"/>
              </w:rPr>
            </w:pPr>
            <w:r>
              <w:rPr>
                <w:rFonts w:hint="eastAsia"/>
                <w:szCs w:val="21"/>
              </w:rPr>
              <w:t>严禁酒后高处作业、患有职业禁忌症的人高处作业。高处作业按规定要求，办理高处作业申批手续。</w:t>
            </w:r>
          </w:p>
        </w:tc>
        <w:tc>
          <w:tcPr>
            <w:tcW w:w="0" w:type="auto"/>
            <w:vAlign w:val="center"/>
          </w:tcPr>
          <w:p w14:paraId="5C0CF37D">
            <w:pPr>
              <w:rPr>
                <w:rFonts w:hint="eastAsia"/>
                <w:szCs w:val="21"/>
              </w:rPr>
            </w:pPr>
            <w:r>
              <w:rPr>
                <w:rFonts w:hint="eastAsia"/>
                <w:szCs w:val="21"/>
              </w:rPr>
              <w:t>一项不符合要求，处罚责任单位3000-6000元。</w:t>
            </w:r>
          </w:p>
        </w:tc>
      </w:tr>
      <w:tr w14:paraId="6EF8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4B0834D9">
            <w:pPr>
              <w:rPr>
                <w:rFonts w:hint="eastAsia"/>
                <w:szCs w:val="21"/>
              </w:rPr>
            </w:pPr>
            <w:r>
              <w:rPr>
                <w:rFonts w:hint="eastAsia"/>
                <w:szCs w:val="21"/>
              </w:rPr>
              <w:t>吊装作业</w:t>
            </w:r>
          </w:p>
        </w:tc>
        <w:tc>
          <w:tcPr>
            <w:tcW w:w="5853" w:type="dxa"/>
            <w:vAlign w:val="center"/>
          </w:tcPr>
          <w:p w14:paraId="14E05029">
            <w:pPr>
              <w:rPr>
                <w:rFonts w:hint="eastAsia"/>
                <w:szCs w:val="21"/>
              </w:rPr>
            </w:pPr>
            <w:r>
              <w:rPr>
                <w:rFonts w:hint="eastAsia"/>
                <w:szCs w:val="21"/>
              </w:rPr>
              <w:t>较大规模吊装作业，事先制定吊装方案和安全措施，划出危险区域并设警示标志，设专人监护。</w:t>
            </w:r>
          </w:p>
        </w:tc>
        <w:tc>
          <w:tcPr>
            <w:tcW w:w="0" w:type="auto"/>
            <w:vAlign w:val="center"/>
          </w:tcPr>
          <w:p w14:paraId="7C6FFAE0">
            <w:pPr>
              <w:rPr>
                <w:rFonts w:hint="eastAsia"/>
                <w:szCs w:val="21"/>
              </w:rPr>
            </w:pPr>
            <w:r>
              <w:rPr>
                <w:rFonts w:hint="eastAsia"/>
                <w:szCs w:val="21"/>
              </w:rPr>
              <w:t>一项不符合要求，处罚责任单位5000元。</w:t>
            </w:r>
          </w:p>
        </w:tc>
      </w:tr>
      <w:tr w14:paraId="1B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8114D88">
            <w:pPr>
              <w:rPr>
                <w:rFonts w:hint="eastAsia"/>
                <w:szCs w:val="21"/>
              </w:rPr>
            </w:pPr>
          </w:p>
        </w:tc>
        <w:tc>
          <w:tcPr>
            <w:tcW w:w="5853" w:type="dxa"/>
            <w:vAlign w:val="center"/>
          </w:tcPr>
          <w:p w14:paraId="5AD83F7C">
            <w:pPr>
              <w:rPr>
                <w:rFonts w:hint="eastAsia"/>
                <w:szCs w:val="21"/>
              </w:rPr>
            </w:pPr>
            <w:r>
              <w:rPr>
                <w:rFonts w:hint="eastAsia"/>
                <w:szCs w:val="21"/>
              </w:rPr>
              <w:t>使用卷扬机吊装，卷扬机应固定可靠，设警示标志，应有明确的信号联系和统一指挥。禁止:使用单根绳套捆绑吊运:各类气瓶的捆绑吊运;人员的上下吊运。吊索具应有定期检查记录。指挥人员应佩戴明显标志。</w:t>
            </w:r>
          </w:p>
        </w:tc>
        <w:tc>
          <w:tcPr>
            <w:tcW w:w="0" w:type="auto"/>
            <w:vAlign w:val="center"/>
          </w:tcPr>
          <w:p w14:paraId="35085329">
            <w:pPr>
              <w:rPr>
                <w:rFonts w:hint="eastAsia"/>
                <w:szCs w:val="21"/>
              </w:rPr>
            </w:pPr>
            <w:r>
              <w:rPr>
                <w:rFonts w:hint="eastAsia"/>
                <w:szCs w:val="21"/>
              </w:rPr>
              <w:t>一项不符合要求，处罚责任单位2000-5000元。</w:t>
            </w:r>
          </w:p>
        </w:tc>
      </w:tr>
      <w:tr w14:paraId="2C49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77DB773E">
            <w:pPr>
              <w:rPr>
                <w:rFonts w:hint="eastAsia"/>
                <w:szCs w:val="21"/>
              </w:rPr>
            </w:pPr>
            <w:r>
              <w:rPr>
                <w:rFonts w:hint="eastAsia"/>
                <w:szCs w:val="21"/>
              </w:rPr>
              <w:t>消防安全</w:t>
            </w:r>
          </w:p>
        </w:tc>
        <w:tc>
          <w:tcPr>
            <w:tcW w:w="5853" w:type="dxa"/>
            <w:vAlign w:val="center"/>
          </w:tcPr>
          <w:p w14:paraId="397A807B">
            <w:pPr>
              <w:rPr>
                <w:rFonts w:hint="eastAsia"/>
                <w:szCs w:val="21"/>
              </w:rPr>
            </w:pPr>
            <w:r>
              <w:rPr>
                <w:rFonts w:hint="eastAsia"/>
                <w:szCs w:val="21"/>
              </w:rPr>
              <w:t>可能发生着火的焊接作业，必须采取有效的防火和灭火措施，并设专人现场监护。</w:t>
            </w:r>
          </w:p>
        </w:tc>
        <w:tc>
          <w:tcPr>
            <w:tcW w:w="0" w:type="auto"/>
            <w:vAlign w:val="center"/>
          </w:tcPr>
          <w:p w14:paraId="2B9FCB5F">
            <w:pPr>
              <w:rPr>
                <w:rFonts w:hint="eastAsia"/>
                <w:szCs w:val="21"/>
              </w:rPr>
            </w:pPr>
            <w:r>
              <w:rPr>
                <w:rFonts w:hint="eastAsia"/>
                <w:szCs w:val="21"/>
              </w:rPr>
              <w:t>一项不符合要求，处罚责任单位1000-5000元。</w:t>
            </w:r>
          </w:p>
        </w:tc>
      </w:tr>
      <w:tr w14:paraId="27CC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25C1A3EF">
            <w:pPr>
              <w:rPr>
                <w:rFonts w:hint="eastAsia"/>
                <w:szCs w:val="21"/>
              </w:rPr>
            </w:pPr>
          </w:p>
        </w:tc>
        <w:tc>
          <w:tcPr>
            <w:tcW w:w="5853" w:type="dxa"/>
            <w:vAlign w:val="center"/>
          </w:tcPr>
          <w:p w14:paraId="10BABDED">
            <w:pPr>
              <w:rPr>
                <w:rFonts w:hint="eastAsia"/>
                <w:szCs w:val="21"/>
              </w:rPr>
            </w:pPr>
            <w:r>
              <w:rPr>
                <w:rFonts w:hint="eastAsia"/>
                <w:szCs w:val="21"/>
              </w:rPr>
              <w:t>发生消防安全事件(发生火灾事故)</w:t>
            </w:r>
          </w:p>
        </w:tc>
        <w:tc>
          <w:tcPr>
            <w:tcW w:w="0" w:type="auto"/>
            <w:vAlign w:val="center"/>
          </w:tcPr>
          <w:p w14:paraId="6714E61E">
            <w:pPr>
              <w:rPr>
                <w:rFonts w:hint="eastAsia"/>
                <w:szCs w:val="21"/>
              </w:rPr>
            </w:pPr>
            <w:r>
              <w:rPr>
                <w:rFonts w:hint="eastAsia"/>
                <w:szCs w:val="21"/>
              </w:rPr>
              <w:t>一项不符合要求，处罚责任单位1000-10000元。</w:t>
            </w:r>
          </w:p>
        </w:tc>
      </w:tr>
      <w:tr w14:paraId="051A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7C0D0333">
            <w:pPr>
              <w:rPr>
                <w:rFonts w:hint="eastAsia"/>
                <w:szCs w:val="21"/>
              </w:rPr>
            </w:pPr>
          </w:p>
        </w:tc>
        <w:tc>
          <w:tcPr>
            <w:tcW w:w="5853" w:type="dxa"/>
            <w:vAlign w:val="center"/>
          </w:tcPr>
          <w:p w14:paraId="1A40A57B">
            <w:pPr>
              <w:rPr>
                <w:rFonts w:hint="eastAsia"/>
                <w:szCs w:val="21"/>
              </w:rPr>
            </w:pPr>
            <w:r>
              <w:rPr>
                <w:rFonts w:hint="eastAsia"/>
                <w:szCs w:val="21"/>
              </w:rPr>
              <w:t>存放危险物品的库房，照明灯具符合防火要求，配备消防器材。临时存放乙炔瓶、氧气瓶地点，两处相距10米以上。</w:t>
            </w:r>
          </w:p>
        </w:tc>
        <w:tc>
          <w:tcPr>
            <w:tcW w:w="0" w:type="auto"/>
            <w:vAlign w:val="center"/>
          </w:tcPr>
          <w:p w14:paraId="3D190D2A">
            <w:pPr>
              <w:rPr>
                <w:rFonts w:hint="eastAsia"/>
                <w:szCs w:val="21"/>
              </w:rPr>
            </w:pPr>
            <w:r>
              <w:rPr>
                <w:rFonts w:hint="eastAsia"/>
                <w:szCs w:val="21"/>
              </w:rPr>
              <w:t>一项不符合要求，处罚责任单位1000-5000元。</w:t>
            </w:r>
          </w:p>
        </w:tc>
      </w:tr>
      <w:tr w14:paraId="268D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743FC5CF">
            <w:pPr>
              <w:rPr>
                <w:rFonts w:hint="eastAsia"/>
                <w:szCs w:val="21"/>
              </w:rPr>
            </w:pPr>
            <w:r>
              <w:rPr>
                <w:rFonts w:hint="eastAsia"/>
                <w:szCs w:val="21"/>
              </w:rPr>
              <w:t>防倒塌</w:t>
            </w:r>
          </w:p>
        </w:tc>
        <w:tc>
          <w:tcPr>
            <w:tcW w:w="5853" w:type="dxa"/>
            <w:vAlign w:val="center"/>
          </w:tcPr>
          <w:p w14:paraId="4D94932E">
            <w:pPr>
              <w:rPr>
                <w:rFonts w:hint="eastAsia"/>
                <w:szCs w:val="21"/>
              </w:rPr>
            </w:pPr>
            <w:r>
              <w:rPr>
                <w:rFonts w:hint="eastAsia"/>
                <w:szCs w:val="21"/>
              </w:rPr>
              <w:t>两米以下的基础坑，根据深度应采取放坡、挖水平台、挂网喷浆、锚固等措施;基础坑四周应设置可靠的钢围栏，并设置红色警示灯;基础坑四周1.5米内，禁止摆放工机具、施工器材、施工垃圾;基础坑内严禁积水;基础坑的上下梯子应稳固可靠，方便人员攀爬。</w:t>
            </w:r>
          </w:p>
        </w:tc>
        <w:tc>
          <w:tcPr>
            <w:tcW w:w="0" w:type="auto"/>
            <w:vAlign w:val="center"/>
          </w:tcPr>
          <w:p w14:paraId="57DF24A6">
            <w:pPr>
              <w:rPr>
                <w:rFonts w:hint="eastAsia"/>
                <w:szCs w:val="21"/>
              </w:rPr>
            </w:pPr>
            <w:r>
              <w:rPr>
                <w:rFonts w:hint="eastAsia"/>
                <w:szCs w:val="21"/>
              </w:rPr>
              <w:t>一项不符合要求，处罚责任单位1000-5000元。</w:t>
            </w:r>
          </w:p>
        </w:tc>
      </w:tr>
      <w:tr w14:paraId="0490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CA82AE5">
            <w:pPr>
              <w:rPr>
                <w:rFonts w:hint="eastAsia"/>
                <w:szCs w:val="21"/>
              </w:rPr>
            </w:pPr>
            <w:r>
              <w:rPr>
                <w:rFonts w:hint="eastAsia"/>
                <w:szCs w:val="21"/>
              </w:rPr>
              <w:t>防护设施</w:t>
            </w:r>
          </w:p>
        </w:tc>
        <w:tc>
          <w:tcPr>
            <w:tcW w:w="5853" w:type="dxa"/>
            <w:vAlign w:val="center"/>
          </w:tcPr>
          <w:p w14:paraId="4A825CEC">
            <w:pPr>
              <w:rPr>
                <w:rFonts w:hint="eastAsia"/>
                <w:szCs w:val="21"/>
              </w:rPr>
            </w:pPr>
            <w:r>
              <w:rPr>
                <w:rFonts w:hint="eastAsia"/>
                <w:szCs w:val="21"/>
              </w:rPr>
              <w:t>设备的防护罩齐全;塔吊、龙门吊有可靠接地;设备设施的栏杆齐全有效;厂房内的坑、洞、沟均应有盖板，各类平台均有栏杆和踢脚板，钢斜梯的踏板应防滑或加焊防滑筋;临时过桥和为钢筋绑扎、混凝土浇灌、物料运输搭设的便道，必须牢固、可靠，方便行走。</w:t>
            </w:r>
          </w:p>
        </w:tc>
        <w:tc>
          <w:tcPr>
            <w:tcW w:w="0" w:type="auto"/>
            <w:vAlign w:val="center"/>
          </w:tcPr>
          <w:p w14:paraId="06339963">
            <w:pPr>
              <w:rPr>
                <w:rFonts w:hint="eastAsia"/>
                <w:szCs w:val="21"/>
              </w:rPr>
            </w:pPr>
            <w:r>
              <w:rPr>
                <w:rFonts w:hint="eastAsia"/>
                <w:szCs w:val="21"/>
              </w:rPr>
              <w:t>一项不符合要求，处罚责任单位1000-5000元。</w:t>
            </w:r>
          </w:p>
        </w:tc>
      </w:tr>
      <w:tr w14:paraId="11E0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868412A">
            <w:pPr>
              <w:rPr>
                <w:rFonts w:hint="eastAsia"/>
                <w:szCs w:val="21"/>
              </w:rPr>
            </w:pPr>
            <w:r>
              <w:rPr>
                <w:rFonts w:hint="eastAsia"/>
                <w:szCs w:val="21"/>
              </w:rPr>
              <w:t>焊接作业</w:t>
            </w:r>
          </w:p>
        </w:tc>
        <w:tc>
          <w:tcPr>
            <w:tcW w:w="5853" w:type="dxa"/>
            <w:vAlign w:val="center"/>
          </w:tcPr>
          <w:p w14:paraId="4298A9E5">
            <w:pPr>
              <w:rPr>
                <w:rFonts w:hint="eastAsia"/>
                <w:szCs w:val="21"/>
              </w:rPr>
            </w:pPr>
            <w:r>
              <w:rPr>
                <w:rFonts w:hint="eastAsia"/>
                <w:szCs w:val="21"/>
              </w:rPr>
              <w:t>高处作业的焊工，作业必须执行高处作业的要求;作业人持有焊接与热切割作业证和高处作业证;焊工作业时应落实防火要求，确认无火灾隐患方可作业;禁止人员肩抗氧气、乙炔两瓶;禁止使用捆绑方法吊运氧气、乙炔两瓶:禁止戴油污手套操作氧气、乙炔两瓶;禁止氧气、乙炔两种气瓶同库存放;</w:t>
            </w:r>
          </w:p>
        </w:tc>
        <w:tc>
          <w:tcPr>
            <w:tcW w:w="0" w:type="auto"/>
            <w:vAlign w:val="center"/>
          </w:tcPr>
          <w:p w14:paraId="75BA9486">
            <w:pPr>
              <w:rPr>
                <w:rFonts w:hint="eastAsia"/>
                <w:szCs w:val="21"/>
              </w:rPr>
            </w:pPr>
            <w:r>
              <w:rPr>
                <w:rFonts w:hint="eastAsia"/>
                <w:szCs w:val="21"/>
              </w:rPr>
              <w:t>一项不符合要求，处罚责任单位1000-5000元。</w:t>
            </w:r>
          </w:p>
        </w:tc>
      </w:tr>
      <w:tr w14:paraId="48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781E5CBE">
            <w:pPr>
              <w:rPr>
                <w:rFonts w:hint="eastAsia"/>
                <w:szCs w:val="21"/>
              </w:rPr>
            </w:pPr>
          </w:p>
        </w:tc>
        <w:tc>
          <w:tcPr>
            <w:tcW w:w="5853" w:type="dxa"/>
            <w:vAlign w:val="center"/>
          </w:tcPr>
          <w:p w14:paraId="3FD8D7AA">
            <w:pPr>
              <w:rPr>
                <w:rFonts w:hint="eastAsia"/>
                <w:szCs w:val="21"/>
              </w:rPr>
            </w:pPr>
            <w:r>
              <w:rPr>
                <w:rFonts w:hint="eastAsia"/>
                <w:szCs w:val="21"/>
              </w:rPr>
              <w:t>氧气、乙炔两瓶之间与火源之间的安全距离分别为不小于5米、10米;氧气、乙炔两瓶的减震圈齐全;氧气、乙两瓶的安全帽齐全;氧气、乙炔两瓶的压力表必须完好;乙炔瓶必须有回火逆止阀;电焊机一次线的长度不大于2米，无接头;电焊机外壳必须做接地;电焊机一次线的接线柱不得裸露，机壳上禁放杂物;二次线不得裸露，接头必须包扎:禁止:用易燃介质管道做二次线的回路。</w:t>
            </w:r>
          </w:p>
        </w:tc>
        <w:tc>
          <w:tcPr>
            <w:tcW w:w="0" w:type="auto"/>
            <w:vAlign w:val="center"/>
          </w:tcPr>
          <w:p w14:paraId="7CD66B4C">
            <w:pPr>
              <w:rPr>
                <w:rFonts w:hint="eastAsia"/>
                <w:szCs w:val="21"/>
              </w:rPr>
            </w:pPr>
            <w:r>
              <w:rPr>
                <w:rFonts w:hint="eastAsia"/>
                <w:szCs w:val="21"/>
              </w:rPr>
              <w:t>一项不符合要求，处罚责任单位1000-5000元。</w:t>
            </w:r>
          </w:p>
        </w:tc>
      </w:tr>
    </w:tbl>
    <w:p w14:paraId="36E524F7">
      <w:pPr>
        <w:ind w:firstLine="560"/>
        <w:rPr>
          <w:rFonts w:hint="eastAsia"/>
          <w:szCs w:val="21"/>
        </w:rPr>
      </w:pPr>
      <w:r>
        <w:rPr>
          <w:rFonts w:hint="eastAsia"/>
          <w:szCs w:val="21"/>
        </w:rPr>
        <w:t>备注</w:t>
      </w:r>
      <w:r>
        <w:rPr>
          <w:szCs w:val="21"/>
        </w:rPr>
        <w:t>:</w:t>
      </w:r>
    </w:p>
    <w:p w14:paraId="0FC7E369">
      <w:pPr>
        <w:ind w:firstLine="560"/>
        <w:rPr>
          <w:rFonts w:hint="eastAsia"/>
          <w:szCs w:val="21"/>
        </w:rPr>
      </w:pPr>
      <w:r>
        <w:rPr>
          <w:szCs w:val="21"/>
        </w:rPr>
        <w:t>1</w:t>
      </w:r>
      <w:r>
        <w:rPr>
          <w:rFonts w:hint="eastAsia"/>
          <w:szCs w:val="21"/>
        </w:rPr>
        <w:t>.</w:t>
      </w:r>
      <w:r>
        <w:rPr>
          <w:szCs w:val="21"/>
        </w:rPr>
        <w:t>重复违反规定或情节严重的，每查出一项对</w:t>
      </w:r>
      <w:r>
        <w:rPr>
          <w:rFonts w:hint="eastAsia"/>
          <w:szCs w:val="21"/>
        </w:rPr>
        <w:t>承包人</w:t>
      </w:r>
      <w:r>
        <w:rPr>
          <w:szCs w:val="21"/>
        </w:rPr>
        <w:t>加倍处罚。</w:t>
      </w:r>
    </w:p>
    <w:p w14:paraId="026BF828">
      <w:pPr>
        <w:ind w:firstLine="560"/>
        <w:rPr>
          <w:rFonts w:hint="eastAsia"/>
          <w:szCs w:val="21"/>
        </w:rPr>
      </w:pPr>
      <w:r>
        <w:rPr>
          <w:szCs w:val="21"/>
        </w:rPr>
        <w:t>2</w:t>
      </w:r>
      <w:r>
        <w:rPr>
          <w:rFonts w:hint="eastAsia"/>
          <w:szCs w:val="21"/>
        </w:rPr>
        <w:t>.承包人</w:t>
      </w:r>
      <w:r>
        <w:rPr>
          <w:szCs w:val="21"/>
        </w:rPr>
        <w:t>出现严重违规违章给项目造成重大安全隐患且短期内无法消除、规避的，发包人有权对项目下达停工令，停工期间造成的所有损失由</w:t>
      </w:r>
      <w:r>
        <w:rPr>
          <w:rFonts w:hint="eastAsia"/>
          <w:szCs w:val="21"/>
        </w:rPr>
        <w:t>承包人</w:t>
      </w:r>
      <w:r>
        <w:rPr>
          <w:szCs w:val="21"/>
        </w:rPr>
        <w:t>承担。</w:t>
      </w:r>
    </w:p>
    <w:p w14:paraId="031BD52D">
      <w:pPr>
        <w:ind w:firstLine="560"/>
        <w:rPr>
          <w:rFonts w:hint="eastAsia" w:cs="黑体"/>
          <w:szCs w:val="21"/>
        </w:rPr>
      </w:pPr>
      <w:r>
        <w:rPr>
          <w:rFonts w:hint="eastAsia" w:cs="黑体"/>
          <w:szCs w:val="21"/>
        </w:rPr>
        <w:t>五、附则</w:t>
      </w:r>
    </w:p>
    <w:p w14:paraId="5DCDCD21">
      <w:pPr>
        <w:ind w:firstLine="640"/>
        <w:rPr>
          <w:rFonts w:hint="eastAsia"/>
          <w:szCs w:val="21"/>
        </w:rPr>
      </w:pPr>
      <w:r>
        <w:rPr>
          <w:rFonts w:hint="eastAsia"/>
          <w:szCs w:val="21"/>
        </w:rPr>
        <w:t>本协议自主合同签订之日起生效。</w:t>
      </w:r>
    </w:p>
    <w:p w14:paraId="3B435B27">
      <w:pPr>
        <w:spacing w:line="300" w:lineRule="auto"/>
        <w:rPr>
          <w:rFonts w:hint="eastAsia" w:eastAsia="黑体"/>
        </w:rPr>
      </w:pPr>
      <w:r>
        <w:rPr>
          <w:rFonts w:eastAsia="黑体"/>
          <w:b/>
          <w:sz w:val="36"/>
          <w:szCs w:val="36"/>
        </w:rPr>
        <w:br w:type="page"/>
      </w:r>
    </w:p>
    <w:p w14:paraId="220CB625">
      <w:pPr>
        <w:spacing w:line="300" w:lineRule="auto"/>
        <w:jc w:val="center"/>
        <w:rPr>
          <w:rFonts w:ascii="Times New Roman" w:hAnsi="Times New Roman" w:eastAsia="黑体"/>
          <w:b/>
          <w:color w:val="000000"/>
          <w:sz w:val="32"/>
          <w:szCs w:val="32"/>
        </w:rPr>
      </w:pPr>
      <w:r>
        <w:rPr>
          <w:rFonts w:hint="eastAsia" w:ascii="Times New Roman" w:hAnsi="Times New Roman" w:eastAsia="黑体"/>
          <w:b/>
          <w:color w:val="000000"/>
          <w:sz w:val="32"/>
          <w:szCs w:val="32"/>
        </w:rPr>
        <w:t>附件四 施工现场消防管理协议</w:t>
      </w:r>
    </w:p>
    <w:p w14:paraId="5C305F04">
      <w:pPr>
        <w:spacing w:line="300" w:lineRule="auto"/>
        <w:ind w:firstLine="420" w:firstLineChars="200"/>
        <w:rPr>
          <w:rFonts w:hint="eastAsia"/>
        </w:rPr>
      </w:pPr>
      <w:r>
        <w:rPr>
          <w:rFonts w:hint="eastAsia"/>
        </w:rPr>
        <w:t>甲方（发包方）：济南黄河爆破工程有限责任公司</w:t>
      </w:r>
    </w:p>
    <w:p w14:paraId="10F2974D">
      <w:pPr>
        <w:spacing w:line="300" w:lineRule="auto"/>
        <w:ind w:firstLine="420" w:firstLineChars="200"/>
        <w:rPr>
          <w:rFonts w:hint="eastAsia"/>
          <w:b/>
          <w:bCs/>
          <w:sz w:val="32"/>
          <w:szCs w:val="32"/>
        </w:rPr>
      </w:pPr>
      <w:r>
        <w:rPr>
          <w:rFonts w:hint="eastAsia"/>
        </w:rPr>
        <w:t>乙方（承包方）：</w:t>
      </w:r>
    </w:p>
    <w:p w14:paraId="45A3233D">
      <w:pPr>
        <w:spacing w:line="300" w:lineRule="auto"/>
        <w:ind w:firstLine="420" w:firstLineChars="200"/>
        <w:rPr>
          <w:rFonts w:hint="eastAsia"/>
        </w:rPr>
      </w:pPr>
      <w:r>
        <w:rPr>
          <w:rFonts w:hint="eastAsia"/>
        </w:rPr>
        <w:t>根据《中华人民共和国合同法》《中华人民共和国建筑法》、《中华人民共和国消防法》、《建设工程安全生产管理条例》以及公安部《机关、团体、企业、事业单位消防安全管理规定》等法律法规，为加强和规范甲乙双方施工现场消防安全管理，落实逐级消防安全责任制，特签订本协议。</w:t>
      </w:r>
    </w:p>
    <w:p w14:paraId="1E8BB2D4">
      <w:pPr>
        <w:spacing w:line="300" w:lineRule="auto"/>
        <w:ind w:firstLine="420" w:firstLineChars="200"/>
        <w:rPr>
          <w:rFonts w:hint="eastAsia"/>
        </w:rPr>
      </w:pPr>
      <w:r>
        <w:rPr>
          <w:rFonts w:hint="eastAsia"/>
        </w:rPr>
        <w:t>第一条  工程项目：</w:t>
      </w:r>
    </w:p>
    <w:p w14:paraId="7058366B">
      <w:pPr>
        <w:spacing w:line="300" w:lineRule="auto"/>
        <w:ind w:firstLine="420" w:firstLineChars="200"/>
        <w:rPr>
          <w:rFonts w:hint="eastAsia"/>
        </w:rPr>
      </w:pPr>
      <w:r>
        <w:rPr>
          <w:rFonts w:hint="eastAsia"/>
        </w:rPr>
        <w:t>1、工程项目名称：同主合同</w:t>
      </w:r>
    </w:p>
    <w:p w14:paraId="032CAB0C">
      <w:pPr>
        <w:spacing w:line="300" w:lineRule="auto"/>
        <w:ind w:firstLine="420" w:firstLineChars="200"/>
        <w:rPr>
          <w:rFonts w:hint="eastAsia"/>
        </w:rPr>
      </w:pPr>
      <w:r>
        <w:rPr>
          <w:rFonts w:hint="eastAsia"/>
        </w:rPr>
        <w:t>2、工程地址：同主合同</w:t>
      </w:r>
    </w:p>
    <w:p w14:paraId="63AAAEB8">
      <w:pPr>
        <w:spacing w:line="300" w:lineRule="auto"/>
        <w:ind w:firstLine="420" w:firstLineChars="200"/>
        <w:rPr>
          <w:rFonts w:hint="eastAsia"/>
        </w:rPr>
      </w:pPr>
      <w:r>
        <w:rPr>
          <w:rFonts w:hint="eastAsia"/>
        </w:rPr>
        <w:t>3、施工范围：同主合同。</w:t>
      </w:r>
    </w:p>
    <w:p w14:paraId="25FDAE00">
      <w:pPr>
        <w:spacing w:line="300" w:lineRule="auto"/>
        <w:ind w:firstLine="420" w:firstLineChars="200"/>
        <w:rPr>
          <w:rFonts w:hint="eastAsia"/>
        </w:rPr>
      </w:pPr>
      <w:r>
        <w:rPr>
          <w:rFonts w:hint="eastAsia"/>
        </w:rPr>
        <w:t>第二条 现场的消防安全责任由总承包单位承担，总承包单位应对施工现场防火实施统一管理，并对施工现场总平面布局、现场防火、临时消防设施、防火管理等进行总体规划、统筹安排，确保施工现场防火管理落到实处。如施工工程允许分包，分包单位应向总承包单位负责，并应服从总承包单位的管理，同时应承担国家法律、法规规定的消防责任和义务。如施工工程已聘请监理单位的，监理单位应对施工现场的消防安全管理履行监理职责。</w:t>
      </w:r>
    </w:p>
    <w:p w14:paraId="100908B9">
      <w:pPr>
        <w:spacing w:line="300" w:lineRule="auto"/>
        <w:ind w:firstLine="420" w:firstLineChars="200"/>
        <w:rPr>
          <w:rFonts w:hint="eastAsia"/>
        </w:rPr>
      </w:pPr>
      <w:r>
        <w:rPr>
          <w:rFonts w:hint="eastAsia"/>
        </w:rPr>
        <w:t>第三条 甲方的权利义务</w:t>
      </w:r>
    </w:p>
    <w:p w14:paraId="45A06910">
      <w:pPr>
        <w:spacing w:line="300" w:lineRule="auto"/>
        <w:ind w:firstLine="420" w:firstLineChars="200"/>
        <w:rPr>
          <w:rFonts w:hint="eastAsia"/>
        </w:rPr>
      </w:pPr>
      <w:r>
        <w:rPr>
          <w:rFonts w:hint="eastAsia"/>
        </w:rPr>
        <w:t>（一）在开工前就遵守相关消防管理规定向乙方进行书面告知，并经双方盖章签字确认后存档。</w:t>
      </w:r>
    </w:p>
    <w:p w14:paraId="35EB6C12">
      <w:pPr>
        <w:spacing w:line="300" w:lineRule="auto"/>
        <w:ind w:firstLine="420" w:firstLineChars="200"/>
        <w:rPr>
          <w:rFonts w:hint="eastAsia"/>
        </w:rPr>
      </w:pPr>
      <w:r>
        <w:rPr>
          <w:rFonts w:hint="eastAsia"/>
        </w:rPr>
        <w:t>（二）为乙方办理车辆进厂证、施工人员进厂卡，并对乙方报送的车辆及人员信息进行备案。</w:t>
      </w:r>
    </w:p>
    <w:p w14:paraId="239DBF8A">
      <w:pPr>
        <w:spacing w:line="300" w:lineRule="auto"/>
        <w:ind w:firstLine="420" w:firstLineChars="200"/>
        <w:rPr>
          <w:rFonts w:hint="eastAsia"/>
        </w:rPr>
      </w:pPr>
      <w:r>
        <w:rPr>
          <w:rFonts w:hint="eastAsia"/>
        </w:rPr>
        <w:t>（三）落实乙方施工围挡边界情况，界定清楚施工现场区域范围。</w:t>
      </w:r>
    </w:p>
    <w:p w14:paraId="75C9D22B">
      <w:pPr>
        <w:spacing w:line="300" w:lineRule="auto"/>
        <w:ind w:firstLine="420" w:firstLineChars="200"/>
        <w:rPr>
          <w:rFonts w:hint="eastAsia"/>
        </w:rPr>
      </w:pPr>
      <w:r>
        <w:rPr>
          <w:rFonts w:hint="eastAsia"/>
        </w:rPr>
        <w:t>（四）督促乙方对现场施工人员进行消防安全教育，对不接受教育、考核或考核不合格以及经审查有其他不符合规定的人员，有权拒绝其进入施工现场或清退出场。</w:t>
      </w:r>
    </w:p>
    <w:p w14:paraId="5A90AEEF">
      <w:pPr>
        <w:spacing w:line="300" w:lineRule="auto"/>
        <w:ind w:firstLine="420" w:firstLineChars="200"/>
        <w:rPr>
          <w:rFonts w:hint="eastAsia"/>
        </w:rPr>
      </w:pPr>
      <w:r>
        <w:rPr>
          <w:rFonts w:hint="eastAsia"/>
        </w:rPr>
        <w:t>（五）严格落实有关动火管理制度。施工现场动用明火的，应该按照规定办理动火审批手续，开具动火证。开具动火证必须由消防管理人员担任，严格把关，根据施工情况提出有针对性的防火措施。</w:t>
      </w:r>
    </w:p>
    <w:p w14:paraId="7B93F5A4">
      <w:pPr>
        <w:spacing w:line="300" w:lineRule="auto"/>
        <w:ind w:firstLine="420" w:firstLineChars="200"/>
        <w:rPr>
          <w:rFonts w:hint="eastAsia"/>
        </w:rPr>
      </w:pPr>
      <w:r>
        <w:rPr>
          <w:rFonts w:hint="eastAsia"/>
        </w:rPr>
        <w:t>（六）在施工过程中发现乙方未落实消防安全措施或存在违章指挥、违规操作等行为的，甲方有权制止、纠正或提出停工整改通知。若乙方拒不整改而形成火险或引发火灾事故的，甲方有权向工程所在地的政府相关部门举报。</w:t>
      </w:r>
    </w:p>
    <w:p w14:paraId="76438737">
      <w:pPr>
        <w:spacing w:line="300" w:lineRule="auto"/>
        <w:ind w:firstLine="420" w:firstLineChars="200"/>
        <w:rPr>
          <w:rFonts w:hint="eastAsia"/>
        </w:rPr>
      </w:pPr>
      <w:r>
        <w:rPr>
          <w:rFonts w:hint="eastAsia"/>
        </w:rPr>
        <w:t>（七）定期召开施工现场消防安全会议，组织防火检查，督促落实火灾隐患整改。</w:t>
      </w:r>
    </w:p>
    <w:p w14:paraId="17A745E4">
      <w:pPr>
        <w:spacing w:line="300" w:lineRule="auto"/>
        <w:ind w:firstLine="420" w:firstLineChars="200"/>
        <w:rPr>
          <w:rFonts w:hint="eastAsia"/>
        </w:rPr>
      </w:pPr>
      <w:r>
        <w:rPr>
          <w:rFonts w:hint="eastAsia"/>
        </w:rPr>
        <w:t>（八）发生火灾时，迅速组织人员疏散和扑救，紧急情况下，甲方有权无偿调用乙方相关人员和物资。</w:t>
      </w:r>
    </w:p>
    <w:p w14:paraId="0730E784">
      <w:pPr>
        <w:spacing w:line="300" w:lineRule="auto"/>
        <w:ind w:firstLine="420" w:firstLineChars="200"/>
        <w:rPr>
          <w:rFonts w:hint="eastAsia"/>
        </w:rPr>
      </w:pPr>
      <w:r>
        <w:rPr>
          <w:rFonts w:hint="eastAsia"/>
        </w:rPr>
        <w:t>（九）积极配合各级消防部门进行消防安全检查，参与对火灾事故的调查和处理。</w:t>
      </w:r>
    </w:p>
    <w:p w14:paraId="7A2E6274">
      <w:pPr>
        <w:spacing w:line="300" w:lineRule="auto"/>
        <w:ind w:firstLine="420" w:firstLineChars="200"/>
        <w:rPr>
          <w:rFonts w:hint="eastAsia"/>
        </w:rPr>
      </w:pPr>
      <w:r>
        <w:rPr>
          <w:rFonts w:hint="eastAsia"/>
        </w:rPr>
        <w:t>第四条 乙方的权利义务</w:t>
      </w:r>
    </w:p>
    <w:p w14:paraId="6084027C">
      <w:pPr>
        <w:spacing w:line="300" w:lineRule="auto"/>
        <w:ind w:firstLine="420" w:firstLineChars="200"/>
        <w:rPr>
          <w:rFonts w:hint="eastAsia"/>
        </w:rPr>
      </w:pPr>
      <w:r>
        <w:rPr>
          <w:rFonts w:hint="eastAsia"/>
        </w:rPr>
        <w:t>1.贯彻落实各级政府相关部门有关施工现场消防安全的法律法规，遵守济钢有关消防管理规定，对所属施工区域和生活区的消防安全工作负责。</w:t>
      </w:r>
    </w:p>
    <w:p w14:paraId="4360431C">
      <w:pPr>
        <w:spacing w:line="300" w:lineRule="auto"/>
        <w:ind w:firstLine="420" w:firstLineChars="200"/>
        <w:rPr>
          <w:rFonts w:hint="eastAsia"/>
        </w:rPr>
      </w:pPr>
      <w:r>
        <w:rPr>
          <w:rFonts w:hint="eastAsia"/>
        </w:rPr>
        <w:t>2.向甲方提报施工方案，该方案应包括消防安全责任制、动火审批管理、施工现场临时用电管理制度和应急处置预案等内容。</w:t>
      </w:r>
    </w:p>
    <w:p w14:paraId="5EFB70DF">
      <w:pPr>
        <w:spacing w:line="300" w:lineRule="auto"/>
        <w:ind w:firstLine="420" w:firstLineChars="200"/>
        <w:rPr>
          <w:rFonts w:hint="eastAsia"/>
        </w:rPr>
      </w:pPr>
      <w:r>
        <w:rPr>
          <w:rFonts w:hint="eastAsia"/>
        </w:rPr>
        <w:t>3. 负责建立健全并落实本单位的防火责任制，明确消防安全责任人、专职消防安全管理人员，并向甲方提供现场人员花名册和特殊工种人员操作证的复印件及有关资料。负责施工现场的日常防火安全管理工作，根据施工现场作业环境，在保证充足应急水源的基础上，在施工现场配备足够的灭火器材，加强消防安全教育，增强施工人员防火意识。</w:t>
      </w:r>
    </w:p>
    <w:p w14:paraId="6F2603D5">
      <w:pPr>
        <w:spacing w:line="300" w:lineRule="auto"/>
        <w:ind w:firstLine="420" w:firstLineChars="200"/>
        <w:rPr>
          <w:rFonts w:hint="eastAsia"/>
        </w:rPr>
      </w:pPr>
      <w:r>
        <w:rPr>
          <w:rFonts w:hint="eastAsia"/>
        </w:rPr>
        <w:t>4.建立健全动火安全管理制度，严格落实施工动火审批和特种作业持证上岗制度。施工时，当遇有易燃、可燃物及保温材料时，严禁明火作业，应充分辨识评估动火风险，经施工安全负责人审查批准，方可施工。作业时应配备专人监护，作业后必须确认无火源危险后方可离开作业地点。</w:t>
      </w:r>
    </w:p>
    <w:p w14:paraId="206E0701">
      <w:pPr>
        <w:spacing w:line="300" w:lineRule="auto"/>
        <w:ind w:firstLine="420" w:firstLineChars="200"/>
        <w:rPr>
          <w:rFonts w:hint="eastAsia"/>
        </w:rPr>
      </w:pPr>
      <w:r>
        <w:rPr>
          <w:rFonts w:hint="eastAsia"/>
        </w:rPr>
        <w:t>5.施工现场临时用电，必须按照国家现行标准JGJ46《施工现场临时用电安全技术规范》及甲方相关规定执行，做到现场用电有人管，临时用电要规范，确保用电安全。</w:t>
      </w:r>
    </w:p>
    <w:p w14:paraId="380F7852">
      <w:pPr>
        <w:spacing w:line="300" w:lineRule="auto"/>
        <w:ind w:firstLine="420" w:firstLineChars="200"/>
        <w:rPr>
          <w:rFonts w:hint="eastAsia"/>
        </w:rPr>
      </w:pPr>
      <w:r>
        <w:rPr>
          <w:rFonts w:hint="eastAsia"/>
        </w:rPr>
        <w:t>6.负责对本单位施工人员进行消防法律、法规、制度、操作规程的施工现场火灾危险性教育，进行报火警、火灾扑救和自救逃生知识、技能教育。对施工现场采用的新工艺、新技术、新材料或使用的新设备必须了解、掌握其安全消防技术特性，经培训教育后方可上岗作业。</w:t>
      </w:r>
    </w:p>
    <w:p w14:paraId="4487BC27">
      <w:pPr>
        <w:spacing w:line="300" w:lineRule="auto"/>
        <w:ind w:firstLine="420" w:firstLineChars="200"/>
        <w:rPr>
          <w:rFonts w:hint="eastAsia"/>
        </w:rPr>
      </w:pPr>
      <w:r>
        <w:rPr>
          <w:rFonts w:hint="eastAsia"/>
        </w:rPr>
        <w:t>7、乙方应负责所在施工区域和所属生活区的消防安全管理工作。在施工前，乙方应对施工现场的临时用房、临时设施、临时消防车道等总平面布局进行整体规划。施工现场根据火灾燃烧物的不同配备相应的灭火器材。设置消防车道或不占用现有消防车道，并保持畅通，保证消防车辆能够及时进入火灾现场进行救援工作。</w:t>
      </w:r>
    </w:p>
    <w:p w14:paraId="264A0042">
      <w:pPr>
        <w:spacing w:line="300" w:lineRule="auto"/>
        <w:ind w:firstLine="420" w:firstLineChars="200"/>
        <w:rPr>
          <w:rFonts w:hint="eastAsia"/>
        </w:rPr>
      </w:pPr>
      <w:r>
        <w:rPr>
          <w:rFonts w:hint="eastAsia"/>
        </w:rPr>
        <w:t>8.施工现场不得做仓库使用，不得存放易燃易爆危险化学品和易燃可燃材料，不得在建设工程内设置宿舍。在建设工程外设置宿舍和库房的，禁止使用可燃材料做分割和围挡。严禁在宿舍内私拉乱接电线，严禁使用“热得快”、电磁炉、电饭煲、电褥子等电热器具，无可靠的防火安全措施，乙方不得使用或存储易燃易爆危险化学品。</w:t>
      </w:r>
    </w:p>
    <w:p w14:paraId="7FF8A084">
      <w:pPr>
        <w:spacing w:line="300" w:lineRule="auto"/>
        <w:ind w:firstLine="420" w:firstLineChars="200"/>
        <w:rPr>
          <w:rFonts w:hint="eastAsia"/>
        </w:rPr>
      </w:pPr>
      <w:r>
        <w:rPr>
          <w:rFonts w:hint="eastAsia"/>
        </w:rPr>
        <w:t>9.乙方应进行日常自我消防安全检查，及时制止、纠正各种违章用火，在消防检查中发现的隐患和问题，应及时整改或采取必要的安全防护措施，并及时通报甲方有关部门共同协商解决，消除安全隐患。</w:t>
      </w:r>
    </w:p>
    <w:p w14:paraId="0032DF2B">
      <w:pPr>
        <w:spacing w:line="300" w:lineRule="auto"/>
        <w:ind w:firstLine="420" w:firstLineChars="200"/>
        <w:rPr>
          <w:rFonts w:hint="eastAsia"/>
        </w:rPr>
      </w:pPr>
      <w:r>
        <w:rPr>
          <w:rFonts w:hint="eastAsia"/>
        </w:rPr>
        <w:t>10.乙方应遵守施工现场严禁吸烟的管理规定，并对由于本单位人员现场吸烟造成的后果承担全部责任。</w:t>
      </w:r>
    </w:p>
    <w:p w14:paraId="3AA827CC">
      <w:pPr>
        <w:spacing w:line="300" w:lineRule="auto"/>
        <w:ind w:firstLine="420" w:firstLineChars="200"/>
        <w:rPr>
          <w:rFonts w:hint="eastAsia"/>
        </w:rPr>
      </w:pPr>
      <w:r>
        <w:rPr>
          <w:rFonts w:hint="eastAsia"/>
        </w:rPr>
        <w:t>11.积极配合消防主管部门、甲方的消防安全监督、检查，对查出的消防安全问题及时进行整改，并将整改结果报甲方备案。</w:t>
      </w:r>
    </w:p>
    <w:p w14:paraId="600B9945">
      <w:pPr>
        <w:spacing w:line="300" w:lineRule="auto"/>
        <w:ind w:firstLine="420" w:firstLineChars="200"/>
        <w:rPr>
          <w:rFonts w:hint="eastAsia"/>
        </w:rPr>
      </w:pPr>
      <w:r>
        <w:rPr>
          <w:rFonts w:hint="eastAsia"/>
        </w:rPr>
        <w:t>12. 乙方应评估施工风险及火灾危险性，根据评估结果制定火险火灾应急预案。施工现场一旦发生火险或火灾事故，应及时启动相应预案。</w:t>
      </w:r>
    </w:p>
    <w:p w14:paraId="3803E454">
      <w:pPr>
        <w:spacing w:line="300" w:lineRule="auto"/>
        <w:ind w:firstLine="420" w:firstLineChars="200"/>
        <w:rPr>
          <w:rFonts w:hint="eastAsia"/>
        </w:rPr>
      </w:pPr>
      <w:r>
        <w:rPr>
          <w:rFonts w:hint="eastAsia"/>
        </w:rPr>
        <w:t>13.发生火灾事故，乙方应立即向甲方汇报并迅速组织人员疏散和扑救，事后积极协助有关部门进行调查，迟报或隐瞒不报造成严重后果的，由乙方承担全部责任。</w:t>
      </w:r>
    </w:p>
    <w:p w14:paraId="085B3273">
      <w:pPr>
        <w:spacing w:line="300" w:lineRule="auto"/>
        <w:ind w:firstLine="420" w:firstLineChars="200"/>
        <w:rPr>
          <w:rFonts w:hint="eastAsia"/>
        </w:rPr>
      </w:pPr>
      <w:r>
        <w:rPr>
          <w:rFonts w:hint="eastAsia"/>
        </w:rPr>
        <w:t>14. 施工单位应当为施工现场从事危险作业的人员办理意外伤害保险。意外伤害保险费由施工单位支付。实行施工总承包的，由总承包单位支付意外伤害保险费。意外伤害保险期限自建设工程开工之日起至竣工验收合格止。</w:t>
      </w:r>
    </w:p>
    <w:p w14:paraId="2DAB27A4">
      <w:pPr>
        <w:spacing w:line="300" w:lineRule="auto"/>
        <w:ind w:firstLine="420" w:firstLineChars="200"/>
        <w:rPr>
          <w:rFonts w:hint="eastAsia"/>
        </w:rPr>
      </w:pPr>
      <w:r>
        <w:rPr>
          <w:rFonts w:hint="eastAsia"/>
        </w:rPr>
        <w:t>15.因乙方原因造成的火灾事故，导致甲方或第三方人员伤亡和经济损失的，由乙方承担全部赔偿责任和法律责任。</w:t>
      </w:r>
    </w:p>
    <w:p w14:paraId="1A1C8B75">
      <w:pPr>
        <w:spacing w:line="300" w:lineRule="auto"/>
        <w:ind w:firstLine="420" w:firstLineChars="200"/>
        <w:rPr>
          <w:rFonts w:hint="eastAsia"/>
        </w:rPr>
      </w:pPr>
      <w:r>
        <w:rPr>
          <w:rFonts w:hint="eastAsia"/>
        </w:rPr>
        <w:t>第五条  其他约定</w:t>
      </w:r>
    </w:p>
    <w:p w14:paraId="541EC8EA">
      <w:pPr>
        <w:spacing w:line="300" w:lineRule="auto"/>
        <w:ind w:firstLine="420" w:firstLineChars="200"/>
        <w:rPr>
          <w:rFonts w:hint="eastAsia"/>
        </w:rPr>
      </w:pPr>
      <w:r>
        <w:rPr>
          <w:rFonts w:hint="eastAsia"/>
        </w:rPr>
        <w:t>因乙方原因对甲方或第三方消防安全造成影响或因此导致甲方受到行政处罚或其他损失的，甲方有权直接从乙方已交纳的履约保证金中扣除相关罚款和损失，履约保证金不足以弥补甲方损失的，由乙方另行赔偿。</w:t>
      </w:r>
    </w:p>
    <w:p w14:paraId="3C0EA8CD">
      <w:pPr>
        <w:spacing w:line="300" w:lineRule="auto"/>
        <w:ind w:firstLine="420" w:firstLineChars="200"/>
        <w:rPr>
          <w:rFonts w:hint="eastAsia"/>
        </w:rPr>
      </w:pPr>
      <w:r>
        <w:rPr>
          <w:rFonts w:hint="eastAsia"/>
        </w:rPr>
        <w:t>第六条  本协议履行过程中发生争议时，双方协商解决，协商不成时，提交施工工程所在地法院诉讼解决。</w:t>
      </w:r>
    </w:p>
    <w:p w14:paraId="196E9A9D">
      <w:pPr>
        <w:spacing w:line="300" w:lineRule="auto"/>
        <w:ind w:firstLine="420" w:firstLineChars="200"/>
        <w:rPr>
          <w:rFonts w:hint="eastAsia"/>
        </w:rPr>
      </w:pPr>
      <w:r>
        <w:rPr>
          <w:rFonts w:hint="eastAsia"/>
        </w:rPr>
        <w:t>第七条  本协议自主合同签订后生效。</w:t>
      </w:r>
    </w:p>
    <w:p w14:paraId="432E4038">
      <w:pPr>
        <w:rPr>
          <w:rFonts w:hint="eastAsia" w:eastAsia="黑体"/>
        </w:rPr>
      </w:pPr>
      <w:r>
        <w:br w:type="page"/>
      </w:r>
      <w:bookmarkEnd w:id="68"/>
    </w:p>
    <w:p w14:paraId="60626D3F">
      <w:pPr>
        <w:jc w:val="center"/>
        <w:rPr>
          <w:rFonts w:hint="eastAsia" w:ascii="黑体" w:eastAsia="黑体"/>
          <w:b/>
          <w:bCs/>
          <w:sz w:val="32"/>
          <w:szCs w:val="32"/>
        </w:rPr>
      </w:pPr>
      <w:r>
        <w:rPr>
          <w:rFonts w:hint="eastAsia" w:ascii="黑体" w:eastAsia="黑体"/>
          <w:b/>
          <w:bCs/>
          <w:sz w:val="32"/>
          <w:szCs w:val="32"/>
        </w:rPr>
        <w:t>附件五 廉洁协议书</w:t>
      </w:r>
    </w:p>
    <w:p w14:paraId="05695DC2">
      <w:pPr>
        <w:spacing w:line="440" w:lineRule="exact"/>
        <w:ind w:firstLine="420" w:firstLineChars="200"/>
        <w:rPr>
          <w:rFonts w:hint="eastAsia"/>
        </w:rPr>
      </w:pPr>
      <w:r>
        <w:rPr>
          <w:rFonts w:hint="eastAsia"/>
        </w:rPr>
        <w:t>甲方：济南黄河爆破工程有限责任公司</w:t>
      </w:r>
    </w:p>
    <w:p w14:paraId="7039D77C">
      <w:pPr>
        <w:spacing w:line="440" w:lineRule="exact"/>
        <w:ind w:firstLine="420" w:firstLineChars="200"/>
        <w:rPr>
          <w:rFonts w:hint="eastAsia"/>
        </w:rPr>
      </w:pPr>
      <w:r>
        <w:rPr>
          <w:rFonts w:hint="eastAsia"/>
        </w:rPr>
        <w:t>乙方：</w:t>
      </w:r>
    </w:p>
    <w:p w14:paraId="760C9CB1">
      <w:pPr>
        <w:spacing w:line="440" w:lineRule="exact"/>
        <w:ind w:firstLine="420" w:firstLineChars="200"/>
        <w:rPr>
          <w:rFonts w:hint="eastAsia"/>
        </w:rPr>
      </w:pPr>
      <w:r>
        <w:rPr>
          <w:rFonts w:hint="eastAsia"/>
        </w:rPr>
        <w:t>为规范甲乙双方在业务交往活动中的行为，严防在业务活动中发生违规违纪违法行为，经双方协商，达成廉洁协议如下：</w:t>
      </w:r>
    </w:p>
    <w:p w14:paraId="5CE41AD3">
      <w:pPr>
        <w:spacing w:line="440" w:lineRule="exact"/>
        <w:ind w:firstLine="420" w:firstLineChars="200"/>
        <w:rPr>
          <w:rFonts w:hint="eastAsia"/>
        </w:rPr>
      </w:pPr>
      <w:r>
        <w:rPr>
          <w:rFonts w:hint="eastAsia"/>
        </w:rPr>
        <w:t>第一条 甲乙双方共同责任</w:t>
      </w:r>
    </w:p>
    <w:p w14:paraId="35E5F97A">
      <w:pPr>
        <w:spacing w:line="440" w:lineRule="exact"/>
        <w:ind w:firstLine="420" w:firstLineChars="200"/>
        <w:rPr>
          <w:rFonts w:hint="eastAsia"/>
        </w:rPr>
      </w:pPr>
      <w:r>
        <w:rPr>
          <w:rFonts w:hint="eastAsia"/>
        </w:rPr>
        <w:t>1、严格遵守国家的法律法规及廉政建设有关规定。</w:t>
      </w:r>
    </w:p>
    <w:p w14:paraId="52A09B94">
      <w:pPr>
        <w:spacing w:line="440" w:lineRule="exact"/>
        <w:ind w:firstLine="420" w:firstLineChars="200"/>
        <w:rPr>
          <w:rFonts w:hint="eastAsia"/>
        </w:rPr>
      </w:pPr>
      <w:r>
        <w:rPr>
          <w:rFonts w:hint="eastAsia"/>
        </w:rPr>
        <w:t>2、共同营造廉洁、诚信、公平、公正的业务交往环境。</w:t>
      </w:r>
    </w:p>
    <w:p w14:paraId="767D69EF">
      <w:pPr>
        <w:spacing w:line="440" w:lineRule="exact"/>
        <w:ind w:firstLine="420" w:firstLineChars="200"/>
        <w:rPr>
          <w:rFonts w:hint="eastAsia"/>
        </w:rPr>
      </w:pPr>
      <w:r>
        <w:rPr>
          <w:rFonts w:hint="eastAsia"/>
        </w:rPr>
        <w:t>3、加强对有关人员的管理和教育，自觉抵制不廉洁行为。</w:t>
      </w:r>
    </w:p>
    <w:p w14:paraId="4455E89D">
      <w:pPr>
        <w:spacing w:line="440" w:lineRule="exact"/>
        <w:ind w:firstLine="420" w:firstLineChars="200"/>
        <w:rPr>
          <w:rFonts w:hint="eastAsia"/>
        </w:rPr>
      </w:pPr>
      <w:r>
        <w:rPr>
          <w:rFonts w:hint="eastAsia"/>
        </w:rPr>
        <w:t>4、发现对方及及其人员在业务活动中有违反廉政规定的行为，有及时要求对方纠正，并向纪检监察机关或司法机关举报的权利和义务。</w:t>
      </w:r>
    </w:p>
    <w:p w14:paraId="2EC9B35E">
      <w:pPr>
        <w:spacing w:line="440" w:lineRule="exact"/>
        <w:ind w:firstLine="420" w:firstLineChars="200"/>
        <w:rPr>
          <w:rFonts w:hint="eastAsia"/>
        </w:rPr>
      </w:pPr>
      <w:r>
        <w:rPr>
          <w:rFonts w:hint="eastAsia"/>
        </w:rPr>
        <w:t>第二条 甲方及其人员的责任</w:t>
      </w:r>
    </w:p>
    <w:p w14:paraId="0AF2D8F2">
      <w:pPr>
        <w:spacing w:line="440" w:lineRule="exact"/>
        <w:ind w:firstLine="420" w:firstLineChars="200"/>
        <w:rPr>
          <w:rFonts w:hint="eastAsia"/>
        </w:rPr>
      </w:pPr>
      <w:r>
        <w:rPr>
          <w:rFonts w:hint="eastAsia"/>
        </w:rPr>
        <w:t>1、禁止索要或接受乙方及其相关单位和人员提供的回扣、礼金、有价证劵、支付凭证、贵重物品等。</w:t>
      </w:r>
    </w:p>
    <w:p w14:paraId="21796D72">
      <w:pPr>
        <w:spacing w:line="440" w:lineRule="exact"/>
        <w:ind w:firstLine="420" w:firstLineChars="200"/>
        <w:rPr>
          <w:rFonts w:hint="eastAsia"/>
        </w:rPr>
      </w:pPr>
      <w:r>
        <w:rPr>
          <w:rFonts w:hint="eastAsia"/>
        </w:rPr>
        <w:t>2、禁止在乙方及其相关单位报销任何应由甲方或个人支付的费用。</w:t>
      </w:r>
    </w:p>
    <w:p w14:paraId="4A68645D">
      <w:pPr>
        <w:spacing w:line="440" w:lineRule="exact"/>
        <w:ind w:firstLine="420" w:firstLineChars="200"/>
        <w:rPr>
          <w:rFonts w:hint="eastAsia"/>
        </w:rPr>
      </w:pPr>
      <w:r>
        <w:rPr>
          <w:rFonts w:hint="eastAsia"/>
        </w:rPr>
        <w:t>3、禁止在乙方及其相关单位投资入股，禁止向乙方单位及人员借款或委托买卖股票、债券等。</w:t>
      </w:r>
    </w:p>
    <w:p w14:paraId="21DF153C">
      <w:pPr>
        <w:spacing w:line="440" w:lineRule="exact"/>
        <w:ind w:firstLine="420" w:firstLineChars="200"/>
        <w:rPr>
          <w:rFonts w:hint="eastAsia"/>
        </w:rPr>
      </w:pPr>
      <w:r>
        <w:rPr>
          <w:rFonts w:hint="eastAsia"/>
        </w:rPr>
        <w:t>4、禁止暗示、要求和接受乙方及其相关单位为其购买或装修住房，为婚丧嫁娶、配偶和子女的工作安排或上学等提供方便。</w:t>
      </w:r>
    </w:p>
    <w:p w14:paraId="063E6349">
      <w:pPr>
        <w:spacing w:line="440" w:lineRule="exact"/>
        <w:ind w:firstLine="420" w:firstLineChars="200"/>
        <w:rPr>
          <w:rFonts w:hint="eastAsia"/>
        </w:rPr>
      </w:pPr>
      <w:r>
        <w:rPr>
          <w:rFonts w:hint="eastAsia"/>
        </w:rPr>
        <w:t>5、禁止接受乙方及其相关单位安排的宴请以及旅游、健身等娱乐活动。</w:t>
      </w:r>
    </w:p>
    <w:p w14:paraId="22739BBF">
      <w:pPr>
        <w:spacing w:line="440" w:lineRule="exact"/>
        <w:ind w:firstLine="420" w:firstLineChars="200"/>
        <w:rPr>
          <w:rFonts w:hint="eastAsia"/>
        </w:rPr>
      </w:pPr>
      <w:r>
        <w:rPr>
          <w:rFonts w:hint="eastAsia"/>
        </w:rPr>
        <w:t>6、禁止接受乙方及其相关单位购置或提供的通讯工具、交通工具和高档办公用品。</w:t>
      </w:r>
    </w:p>
    <w:p w14:paraId="482AB904">
      <w:pPr>
        <w:spacing w:line="440" w:lineRule="exact"/>
        <w:ind w:firstLine="420" w:firstLineChars="200"/>
        <w:rPr>
          <w:rFonts w:hint="eastAsia"/>
        </w:rPr>
      </w:pPr>
      <w:r>
        <w:rPr>
          <w:rFonts w:hint="eastAsia"/>
        </w:rPr>
        <w:t>7、禁止通过乙方及其相关单位为其配偶、子女及他人谋取不正当利益。</w:t>
      </w:r>
    </w:p>
    <w:p w14:paraId="2A08A4FF">
      <w:pPr>
        <w:spacing w:line="440" w:lineRule="exact"/>
        <w:ind w:firstLine="420" w:firstLineChars="200"/>
        <w:rPr>
          <w:rFonts w:hint="eastAsia"/>
        </w:rPr>
      </w:pPr>
      <w:r>
        <w:rPr>
          <w:rFonts w:hint="eastAsia"/>
        </w:rPr>
        <w:t>8、禁止在乙方或乙方相关单位兼职和领取兼职工资及报酬；禁止利用甲方的商业秘密谋取个人私利。</w:t>
      </w:r>
    </w:p>
    <w:p w14:paraId="28AE9C9C">
      <w:pPr>
        <w:spacing w:line="440" w:lineRule="exact"/>
        <w:ind w:firstLine="420" w:firstLineChars="200"/>
        <w:rPr>
          <w:rFonts w:hint="eastAsia"/>
        </w:rPr>
      </w:pPr>
      <w:r>
        <w:rPr>
          <w:rFonts w:hint="eastAsia"/>
        </w:rPr>
        <w:t>9、禁止利用职权和工作之便向乙方提出上述各项禁止事项之外其它违背党规党纪、国家法律法规和本公司廉洁自律有关规定的事项或要求。</w:t>
      </w:r>
    </w:p>
    <w:p w14:paraId="4DBADB92">
      <w:pPr>
        <w:spacing w:line="440" w:lineRule="exact"/>
        <w:ind w:firstLine="420" w:firstLineChars="200"/>
        <w:rPr>
          <w:rFonts w:hint="eastAsia"/>
        </w:rPr>
      </w:pPr>
      <w:r>
        <w:rPr>
          <w:rFonts w:hint="eastAsia"/>
        </w:rPr>
        <w:t>第三条 乙方及其人员责任</w:t>
      </w:r>
    </w:p>
    <w:p w14:paraId="14865425">
      <w:pPr>
        <w:spacing w:line="440" w:lineRule="exact"/>
        <w:ind w:firstLine="420" w:firstLineChars="200"/>
        <w:rPr>
          <w:rFonts w:hint="eastAsia"/>
        </w:rPr>
      </w:pPr>
      <w:r>
        <w:rPr>
          <w:rFonts w:hint="eastAsia"/>
        </w:rPr>
        <w:t>1、禁止向甲方及其人员提供回扣、礼金、有价证劵、支付凭证、贵重物品等。</w:t>
      </w:r>
    </w:p>
    <w:p w14:paraId="0056DCB2">
      <w:pPr>
        <w:spacing w:line="440" w:lineRule="exact"/>
        <w:ind w:firstLine="420" w:firstLineChars="200"/>
        <w:rPr>
          <w:rFonts w:hint="eastAsia"/>
        </w:rPr>
      </w:pPr>
      <w:r>
        <w:rPr>
          <w:rFonts w:hint="eastAsia"/>
        </w:rPr>
        <w:t>2、禁止为甲方及其人员报销应由甲方或甲方个人支付的费用。</w:t>
      </w:r>
    </w:p>
    <w:p w14:paraId="1F5D568F">
      <w:pPr>
        <w:spacing w:line="440" w:lineRule="exact"/>
        <w:ind w:firstLine="420" w:firstLineChars="200"/>
        <w:rPr>
          <w:rFonts w:hint="eastAsia"/>
        </w:rPr>
      </w:pPr>
      <w:r>
        <w:rPr>
          <w:rFonts w:hint="eastAsia"/>
        </w:rPr>
        <w:t>3、禁止为甲方及其人员在乙方投资入股、个人借款等提供方便。</w:t>
      </w:r>
    </w:p>
    <w:p w14:paraId="5ACE60C6">
      <w:pPr>
        <w:spacing w:line="440" w:lineRule="exact"/>
        <w:ind w:firstLine="420" w:firstLineChars="200"/>
        <w:rPr>
          <w:rFonts w:hint="eastAsia"/>
        </w:rPr>
      </w:pPr>
      <w:r>
        <w:rPr>
          <w:rFonts w:hint="eastAsia"/>
        </w:rPr>
        <w:t>4、禁止为甲方及其人员购买或装修住房，为婚丧嫁娶、配偶和子女工作安排或上学等提供方便。</w:t>
      </w:r>
    </w:p>
    <w:p w14:paraId="3A637654">
      <w:pPr>
        <w:spacing w:line="440" w:lineRule="exact"/>
        <w:ind w:firstLine="420" w:firstLineChars="200"/>
        <w:rPr>
          <w:rFonts w:hint="eastAsia"/>
        </w:rPr>
      </w:pPr>
      <w:r>
        <w:rPr>
          <w:rFonts w:hint="eastAsia"/>
        </w:rPr>
        <w:t>5、禁止为甲方及其人员安排宴请以及旅游、健身、娱乐等活动。</w:t>
      </w:r>
    </w:p>
    <w:p w14:paraId="14BF4BA9">
      <w:pPr>
        <w:spacing w:line="440" w:lineRule="exact"/>
        <w:ind w:firstLine="420" w:firstLineChars="200"/>
        <w:rPr>
          <w:rFonts w:hint="eastAsia"/>
        </w:rPr>
      </w:pPr>
      <w:r>
        <w:rPr>
          <w:rFonts w:hint="eastAsia"/>
        </w:rPr>
        <w:t>6、禁止为甲方及其人员购置或提供通讯工具、交通工具和高档办公用品。</w:t>
      </w:r>
    </w:p>
    <w:p w14:paraId="09C64F64">
      <w:pPr>
        <w:spacing w:line="440" w:lineRule="exact"/>
        <w:ind w:firstLine="420" w:firstLineChars="200"/>
        <w:rPr>
          <w:rFonts w:hint="eastAsia"/>
        </w:rPr>
      </w:pPr>
      <w:r>
        <w:rPr>
          <w:rFonts w:hint="eastAsia"/>
        </w:rPr>
        <w:t>7、禁止为甲方及其人员的配偶、子女及其它亲属谋取不正当利益提供方便。</w:t>
      </w:r>
    </w:p>
    <w:p w14:paraId="17E05D43">
      <w:pPr>
        <w:spacing w:line="440" w:lineRule="exact"/>
        <w:ind w:firstLine="420" w:firstLineChars="200"/>
        <w:rPr>
          <w:rFonts w:hint="eastAsia"/>
        </w:rPr>
      </w:pPr>
      <w:r>
        <w:rPr>
          <w:rFonts w:hint="eastAsia"/>
        </w:rPr>
        <w:t>8、禁止安排甲方人员在乙方或乙方相关企业兼职和领取兼职工资及报酬；禁止向甲方人员打探有关涉及甲方的商业秘密。</w:t>
      </w:r>
    </w:p>
    <w:p w14:paraId="15669415">
      <w:pPr>
        <w:spacing w:line="440" w:lineRule="exact"/>
        <w:ind w:firstLine="420" w:firstLineChars="200"/>
        <w:rPr>
          <w:rFonts w:hint="eastAsia"/>
        </w:rPr>
      </w:pPr>
      <w:r>
        <w:rPr>
          <w:rFonts w:hint="eastAsia"/>
        </w:rPr>
        <w:t>9、甲方对涉嫌与甲方有关的不廉洁行为进行调查时，乙方有配合甲方提供证据、作证的义务。</w:t>
      </w:r>
    </w:p>
    <w:p w14:paraId="1B4B9AB6">
      <w:pPr>
        <w:spacing w:line="440" w:lineRule="exact"/>
        <w:ind w:firstLine="420" w:firstLineChars="200"/>
        <w:rPr>
          <w:rFonts w:hint="eastAsia"/>
        </w:rPr>
      </w:pPr>
      <w:r>
        <w:rPr>
          <w:rFonts w:hint="eastAsia"/>
        </w:rPr>
        <w:t>第四条 违约责任</w:t>
      </w:r>
    </w:p>
    <w:p w14:paraId="3E7AEA9F">
      <w:pPr>
        <w:spacing w:line="440" w:lineRule="exact"/>
        <w:ind w:firstLine="420" w:firstLineChars="200"/>
        <w:rPr>
          <w:rFonts w:hint="eastAsia"/>
        </w:rPr>
      </w:pPr>
      <w:r>
        <w:rPr>
          <w:rFonts w:hint="eastAsia"/>
        </w:rPr>
        <w:t>1、甲方及其人员有违反本协议第一条、第二条规定的，按照管理权限，依据有关纪律规定给予有关人员纪律处分或组织处理；涉嫌犯罪的，移交司法机关追究刑事责任。</w:t>
      </w:r>
    </w:p>
    <w:p w14:paraId="0C879993">
      <w:pPr>
        <w:spacing w:line="440" w:lineRule="exact"/>
        <w:ind w:firstLine="420" w:firstLineChars="200"/>
        <w:rPr>
          <w:rFonts w:hint="eastAsia"/>
        </w:rPr>
      </w:pPr>
      <w:r>
        <w:rPr>
          <w:rFonts w:hint="eastAsia"/>
        </w:rPr>
        <w:t>2、乙方及其人员有违反本协议第一条、第三条规定的，甲方有权依据本协议单方决定变更甲、乙双方所有合同中关于数额、履行期限等相关权利与义务的条款，且有权解除与乙方的所有协议、合同并不承担任何违约责任。甲方并有权要求乙方赔偿由此造成的甲方损失（包括直接损失、可得利益损失、律师费等）。涉嫌犯罪的，移交司法机关追究刑事责任。</w:t>
      </w:r>
    </w:p>
    <w:p w14:paraId="491B5EA4">
      <w:pPr>
        <w:spacing w:line="440" w:lineRule="exact"/>
        <w:ind w:firstLine="420" w:firstLineChars="200"/>
        <w:rPr>
          <w:rFonts w:hint="eastAsia"/>
        </w:rPr>
      </w:pPr>
      <w:r>
        <w:rPr>
          <w:rFonts w:hint="eastAsia"/>
        </w:rPr>
        <w:t>第五条 本协议经双方签署后生效</w:t>
      </w:r>
    </w:p>
    <w:p w14:paraId="3A0A82EF">
      <w:pPr>
        <w:spacing w:line="440" w:lineRule="exact"/>
        <w:ind w:firstLine="420" w:firstLineChars="200"/>
        <w:rPr>
          <w:rFonts w:hint="eastAsia"/>
        </w:rPr>
      </w:pPr>
      <w:r>
        <w:rPr>
          <w:rFonts w:hint="eastAsia"/>
        </w:rPr>
        <w:t>甲乙双方通过招标或其它方式签订业务合同时，必须签署本协议。本协议作为业务合同的附件，与合同具有同等效力；如双方未签订合同，本协议独立有效。</w:t>
      </w:r>
    </w:p>
    <w:p w14:paraId="404DDDFF">
      <w:pPr>
        <w:spacing w:line="440" w:lineRule="exact"/>
        <w:ind w:firstLine="420" w:firstLineChars="200"/>
        <w:rPr>
          <w:rFonts w:hint="eastAsia"/>
        </w:rPr>
      </w:pPr>
      <w:r>
        <w:rPr>
          <w:rFonts w:hint="eastAsia"/>
        </w:rPr>
        <w:t>第六条 甲乙双方及其人员在合同履行完毕后，发现在合同执行期间有违反本协议规定的行为，仍按本协议规定处理。</w:t>
      </w:r>
    </w:p>
    <w:p w14:paraId="064A4AF2">
      <w:pPr>
        <w:spacing w:line="440" w:lineRule="exact"/>
        <w:ind w:firstLine="420" w:firstLineChars="200"/>
        <w:rPr>
          <w:rFonts w:hint="eastAsia"/>
        </w:rPr>
      </w:pPr>
      <w:r>
        <w:rPr>
          <w:rFonts w:hint="eastAsia"/>
        </w:rPr>
        <w:t>第七条 本协议书随主合同签订后生效。</w:t>
      </w:r>
    </w:p>
    <w:p w14:paraId="6B29C814">
      <w:pPr>
        <w:spacing w:line="440" w:lineRule="exact"/>
        <w:ind w:firstLine="420" w:firstLineChars="200"/>
        <w:rPr>
          <w:rFonts w:hint="eastAsia"/>
        </w:rPr>
      </w:pPr>
      <w:r>
        <w:rPr>
          <w:rFonts w:hint="eastAsia"/>
        </w:rPr>
        <w:t>第八条 由此引起的纠纷由甲方所在地人民法院管辖。</w:t>
      </w:r>
    </w:p>
    <w:p w14:paraId="3CEDA0E0">
      <w:pPr>
        <w:spacing w:line="440" w:lineRule="exact"/>
        <w:ind w:firstLine="420" w:firstLineChars="200"/>
        <w:rPr>
          <w:rFonts w:hint="eastAsia"/>
        </w:rPr>
      </w:pPr>
    </w:p>
    <w:p w14:paraId="03A0676E">
      <w:pPr>
        <w:pStyle w:val="46"/>
        <w:ind w:firstLine="400"/>
        <w:rPr>
          <w:color w:val="000000"/>
        </w:rPr>
      </w:pPr>
    </w:p>
    <w:p w14:paraId="3BACA1DB">
      <w:pPr>
        <w:pStyle w:val="46"/>
        <w:ind w:left="3460" w:leftChars="0" w:firstLine="0" w:firstLineChars="0"/>
        <w:rPr>
          <w:rFonts w:eastAsia="黑体"/>
          <w:sz w:val="28"/>
          <w:szCs w:val="20"/>
        </w:rPr>
      </w:pPr>
    </w:p>
    <w:p w14:paraId="68CA1F8E">
      <w:pPr>
        <w:pStyle w:val="46"/>
        <w:ind w:left="3460" w:leftChars="0" w:firstLine="0" w:firstLineChars="0"/>
        <w:rPr>
          <w:rFonts w:eastAsia="黑体"/>
          <w:sz w:val="28"/>
          <w:szCs w:val="20"/>
        </w:rPr>
      </w:pPr>
    </w:p>
    <w:bookmarkEnd w:id="65"/>
    <w:p w14:paraId="7D8B1340">
      <w:pPr>
        <w:widowControl/>
        <w:jc w:val="left"/>
        <w:rPr>
          <w:rFonts w:ascii="Times New Roman" w:hAnsi="Times New Roman" w:eastAsia="黑体"/>
          <w:b/>
          <w:color w:val="000000"/>
          <w:sz w:val="44"/>
          <w:szCs w:val="44"/>
        </w:rPr>
      </w:pPr>
      <w:bookmarkStart w:id="69" w:name="_Toc144974854"/>
      <w:bookmarkStart w:id="70" w:name="_Toc152042574"/>
      <w:bookmarkStart w:id="71" w:name="_Toc179632804"/>
      <w:bookmarkStart w:id="72" w:name="_Toc152045785"/>
      <w:r>
        <w:rPr>
          <w:rFonts w:ascii="Times New Roman" w:hAnsi="Times New Roman"/>
          <w:b/>
          <w:bCs/>
          <w:i/>
          <w:color w:val="000000"/>
          <w:sz w:val="44"/>
          <w:szCs w:val="44"/>
        </w:rPr>
        <w:br w:type="page"/>
      </w:r>
    </w:p>
    <w:p w14:paraId="2D2971FD">
      <w:pPr>
        <w:pStyle w:val="179"/>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bookmarkStart w:id="73" w:name="_Toc12545"/>
      <w:r>
        <w:rPr>
          <w:rFonts w:hint="eastAsia" w:ascii="Times New Roman" w:hAnsi="Times New Roman"/>
          <w:b/>
          <w:bCs w:val="0"/>
          <w:i w:val="0"/>
          <w:color w:val="000000"/>
          <w:kern w:val="2"/>
          <w:sz w:val="44"/>
          <w:szCs w:val="44"/>
        </w:rPr>
        <w:t>第五章  技术标准和要求</w:t>
      </w:r>
      <w:bookmarkEnd w:id="69"/>
      <w:bookmarkEnd w:id="70"/>
      <w:bookmarkEnd w:id="71"/>
      <w:bookmarkEnd w:id="72"/>
      <w:bookmarkEnd w:id="73"/>
    </w:p>
    <w:p w14:paraId="2A06C3DD">
      <w:pPr>
        <w:numPr>
          <w:ilvl w:val="0"/>
          <w:numId w:val="5"/>
        </w:numPr>
        <w:spacing w:line="300" w:lineRule="auto"/>
        <w:outlineLvl w:val="9"/>
        <w:rPr>
          <w:rFonts w:ascii="Times New Roman" w:hAnsi="Times New Roman"/>
          <w:color w:val="000000"/>
        </w:rPr>
      </w:pPr>
      <w:r>
        <w:rPr>
          <w:rFonts w:hint="eastAsia" w:ascii="Times New Roman" w:hAnsi="Times New Roman"/>
          <w:b/>
          <w:color w:val="000000"/>
        </w:rPr>
        <w:t>现场自然条件：</w:t>
      </w:r>
    </w:p>
    <w:p w14:paraId="6094BDAA">
      <w:pPr>
        <w:spacing w:line="300" w:lineRule="auto"/>
        <w:ind w:firstLine="630" w:firstLineChars="300"/>
        <w:rPr>
          <w:rFonts w:ascii="Times New Roman" w:hAnsi="Times New Roman"/>
          <w:color w:val="000000"/>
        </w:rPr>
      </w:pPr>
      <w:r>
        <w:rPr>
          <w:rFonts w:ascii="Times New Roman" w:hAnsi="Times New Roman"/>
          <w:color w:val="000000"/>
        </w:rPr>
        <w:t>1</w:t>
      </w:r>
      <w:r>
        <w:rPr>
          <w:rFonts w:hint="eastAsia" w:ascii="Times New Roman" w:hAnsi="Times New Roman"/>
          <w:color w:val="000000"/>
        </w:rPr>
        <w:t>．施工现场位于山东济南章丘官庄山东济钢环保新材料产业园</w:t>
      </w:r>
    </w:p>
    <w:p w14:paraId="453D0E6E">
      <w:pPr>
        <w:pStyle w:val="214"/>
        <w:numPr>
          <w:ilvl w:val="0"/>
          <w:numId w:val="0"/>
        </w:numPr>
        <w:spacing w:before="0" w:line="300" w:lineRule="auto"/>
        <w:ind w:left="1470" w:leftChars="357" w:hanging="720" w:hangingChars="300"/>
        <w:rPr>
          <w:color w:val="000000"/>
        </w:rPr>
      </w:pPr>
      <w:r>
        <w:rPr>
          <w:color w:val="000000"/>
        </w:rPr>
        <w:t>2.</w:t>
      </w:r>
      <w:r>
        <w:rPr>
          <w:rFonts w:hint="eastAsia"/>
          <w:color w:val="000000"/>
        </w:rPr>
        <w:t>地理自然环境：</w:t>
      </w:r>
    </w:p>
    <w:p w14:paraId="525F6C7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）海拔：</w:t>
      </w:r>
    </w:p>
    <w:p w14:paraId="31D147FB">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）降水：</w:t>
      </w:r>
    </w:p>
    <w:p w14:paraId="44C342D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）气温：</w:t>
      </w:r>
    </w:p>
    <w:p w14:paraId="11E8506F">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）风：</w:t>
      </w:r>
    </w:p>
    <w:p w14:paraId="18625E63">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）相对湿度：</w:t>
      </w:r>
    </w:p>
    <w:p w14:paraId="10CBA7F3">
      <w:pPr>
        <w:spacing w:line="300" w:lineRule="auto"/>
        <w:outlineLvl w:val="9"/>
        <w:rPr>
          <w:rFonts w:ascii="Times New Roman" w:hAnsi="Times New Roman"/>
          <w:b/>
          <w:color w:val="000000"/>
        </w:rPr>
      </w:pPr>
      <w:r>
        <w:rPr>
          <w:rFonts w:hint="eastAsia" w:ascii="Times New Roman" w:hAnsi="Times New Roman"/>
          <w:b/>
          <w:color w:val="000000"/>
        </w:rPr>
        <w:t>二、现场施工条件：</w:t>
      </w:r>
    </w:p>
    <w:p w14:paraId="6FF6E0A7">
      <w:pPr>
        <w:pStyle w:val="18"/>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1</w:t>
      </w:r>
      <w:r>
        <w:rPr>
          <w:rFonts w:hint="eastAsia" w:ascii="Times New Roman" w:hAnsi="Times New Roman" w:eastAsia="等线"/>
          <w:color w:val="000000"/>
          <w:kern w:val="2"/>
          <w:sz w:val="21"/>
          <w:szCs w:val="22"/>
        </w:rPr>
        <w:t>．施工现场的</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三通一平</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工程未完成，现场施工需硬化的地面及临时道路，施工围挡等费用均含在报价内，承包人自行处理，保证施工及施工材料顺利进场。</w:t>
      </w:r>
    </w:p>
    <w:p w14:paraId="6D155C87">
      <w:pPr>
        <w:pStyle w:val="18"/>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2</w:t>
      </w:r>
      <w:r>
        <w:rPr>
          <w:rFonts w:hint="eastAsia" w:ascii="Times New Roman" w:hAnsi="Times New Roman" w:eastAsia="等线"/>
          <w:color w:val="000000"/>
          <w:kern w:val="2"/>
          <w:sz w:val="21"/>
          <w:szCs w:val="22"/>
        </w:rPr>
        <w:t>．临时设施由承包人自行建设，费用自理。</w:t>
      </w:r>
    </w:p>
    <w:p w14:paraId="678B9C9A">
      <w:pPr>
        <w:pStyle w:val="18"/>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3</w:t>
      </w:r>
      <w:r>
        <w:rPr>
          <w:rFonts w:hint="eastAsia" w:ascii="Times New Roman" w:hAnsi="Times New Roman" w:eastAsia="等线"/>
          <w:color w:val="000000"/>
          <w:kern w:val="2"/>
          <w:sz w:val="21"/>
          <w:szCs w:val="22"/>
        </w:rPr>
        <w:t>．施工用电：由发包人提供电源，承包人所需的电缆、配电盘等费用由承包方自理，自行安装合格的电表计量，按计量数量缴纳电费，将发生的所有费用计入报价内，实际所用费用由承包方自行承担，按合同约定的实际价格计算，在工程结算款中扣回。</w:t>
      </w:r>
    </w:p>
    <w:p w14:paraId="7203BFFF">
      <w:pPr>
        <w:spacing w:line="300" w:lineRule="auto"/>
        <w:rPr>
          <w:rFonts w:ascii="Times New Roman" w:hAnsi="Times New Roman"/>
          <w:color w:val="000000"/>
        </w:rPr>
      </w:pPr>
      <w:r>
        <w:rPr>
          <w:rFonts w:ascii="Times New Roman" w:hAnsi="Times New Roman"/>
          <w:color w:val="000000"/>
        </w:rPr>
        <w:t xml:space="preserve">     4.</w:t>
      </w:r>
      <w:r>
        <w:rPr>
          <w:rFonts w:hint="eastAsia" w:ascii="Times New Roman" w:hAnsi="Times New Roman"/>
          <w:color w:val="000000"/>
        </w:rPr>
        <w:t xml:space="preserve"> 施工用水：由发包人提供水源，施工现场所需的水管、水表等费用由承包人自理，自行安装合格的水表计量，实际所用费用由承包方自行承担，按合同约定的实际价格计算，在工程结算款中扣回。</w:t>
      </w:r>
    </w:p>
    <w:p w14:paraId="14E983BD">
      <w:pPr>
        <w:numPr>
          <w:ilvl w:val="0"/>
          <w:numId w:val="6"/>
        </w:numPr>
        <w:spacing w:line="300" w:lineRule="auto"/>
        <w:outlineLvl w:val="9"/>
        <w:rPr>
          <w:rFonts w:ascii="Times New Roman" w:hAnsi="Times New Roman"/>
          <w:b/>
          <w:color w:val="000000"/>
        </w:rPr>
      </w:pPr>
      <w:r>
        <w:rPr>
          <w:rFonts w:hint="eastAsia" w:ascii="Times New Roman" w:hAnsi="Times New Roman"/>
          <w:b/>
          <w:color w:val="000000"/>
        </w:rPr>
        <w:t>本工程采用的技术规范</w:t>
      </w:r>
    </w:p>
    <w:p w14:paraId="1BD76265">
      <w:pPr>
        <w:spacing w:line="300" w:lineRule="auto"/>
        <w:ind w:firstLine="525" w:firstLineChars="250"/>
        <w:outlineLvl w:val="9"/>
        <w:rPr>
          <w:rFonts w:hint="eastAsia" w:ascii="Times New Roman" w:hAnsi="Times New Roman"/>
          <w:color w:val="000000"/>
        </w:rPr>
      </w:pPr>
      <w:r>
        <w:rPr>
          <w:rFonts w:hint="eastAsia" w:ascii="Times New Roman" w:hAnsi="Times New Roman"/>
          <w:color w:val="000000"/>
        </w:rPr>
        <w:t>本工程采用的施工及验收技术规范、标准以现行为准。</w:t>
      </w:r>
    </w:p>
    <w:p w14:paraId="5D6FA4ED">
      <w:pPr>
        <w:spacing w:line="300" w:lineRule="auto"/>
        <w:ind w:firstLine="500" w:firstLineChars="250"/>
        <w:jc w:val="center"/>
        <w:outlineLvl w:val="0"/>
        <w:rPr>
          <w:rFonts w:ascii="Times New Roman" w:hAnsi="Times New Roman" w:eastAsia="黑体"/>
          <w:b/>
          <w:color w:val="000000"/>
          <w:sz w:val="44"/>
          <w:szCs w:val="44"/>
        </w:rPr>
      </w:pPr>
      <w:r>
        <w:rPr>
          <w:rFonts w:ascii="Calibri" w:hAnsi="Calibri" w:eastAsia="宋体"/>
          <w:kern w:val="0"/>
          <w:sz w:val="20"/>
          <w:szCs w:val="20"/>
        </w:rPr>
        <w:br w:type="page"/>
      </w:r>
      <w:bookmarkStart w:id="74" w:name="_Toc11484"/>
      <w:bookmarkStart w:id="75" w:name="_Toc179632808"/>
      <w:r>
        <w:rPr>
          <w:rFonts w:ascii="Times New Roman" w:hAnsi="Times New Roman" w:eastAsia="黑体"/>
          <w:b/>
          <w:color w:val="000000"/>
          <w:sz w:val="44"/>
          <w:szCs w:val="44"/>
        </w:rPr>
        <w:t>第</w:t>
      </w:r>
      <w:r>
        <w:rPr>
          <w:rFonts w:hint="eastAsia" w:ascii="Times New Roman" w:hAnsi="Times New Roman" w:eastAsia="黑体"/>
          <w:b/>
          <w:color w:val="000000"/>
          <w:sz w:val="44"/>
          <w:szCs w:val="44"/>
        </w:rPr>
        <w:t>六</w:t>
      </w:r>
      <w:r>
        <w:rPr>
          <w:rFonts w:ascii="Times New Roman" w:hAnsi="Times New Roman" w:eastAsia="黑体"/>
          <w:b/>
          <w:color w:val="000000"/>
          <w:sz w:val="44"/>
          <w:szCs w:val="44"/>
        </w:rPr>
        <w:t>章 投标文件格式</w:t>
      </w:r>
      <w:bookmarkEnd w:id="74"/>
    </w:p>
    <w:p w14:paraId="1F170BF0">
      <w:pPr>
        <w:autoSpaceDE w:val="0"/>
        <w:autoSpaceDN w:val="0"/>
        <w:adjustRightInd w:val="0"/>
        <w:spacing w:line="300" w:lineRule="auto"/>
        <w:ind w:firstLine="3360" w:firstLineChars="1400"/>
        <w:jc w:val="left"/>
        <w:rPr>
          <w:rFonts w:ascii="Times New Roman" w:hAnsi="Times New Roman" w:eastAsia="黑体"/>
          <w:color w:val="000000"/>
          <w:kern w:val="0"/>
          <w:sz w:val="24"/>
          <w:shd w:val="clear" w:color="auto" w:fill="FFFFFF"/>
        </w:rPr>
      </w:pPr>
    </w:p>
    <w:p w14:paraId="5231C8FC">
      <w:pPr>
        <w:autoSpaceDE w:val="0"/>
        <w:autoSpaceDN w:val="0"/>
        <w:adjustRightInd w:val="0"/>
        <w:spacing w:line="300" w:lineRule="auto"/>
        <w:ind w:firstLine="6160" w:firstLineChars="1400"/>
        <w:jc w:val="right"/>
        <w:rPr>
          <w:rFonts w:ascii="Times New Roman" w:hAnsi="Times New Roman" w:eastAsia="黑体"/>
          <w:color w:val="000000"/>
          <w:kern w:val="0"/>
          <w:sz w:val="44"/>
          <w:szCs w:val="44"/>
        </w:rPr>
      </w:pPr>
      <w:r>
        <w:rPr>
          <w:rFonts w:ascii="Times New Roman" w:hAnsi="Times New Roman" w:eastAsia="黑体"/>
          <w:color w:val="000000"/>
          <w:kern w:val="0"/>
          <w:sz w:val="44"/>
          <w:szCs w:val="44"/>
          <w:bdr w:val="single" w:color="auto" w:sz="4" w:space="0"/>
        </w:rPr>
        <w:t>正本/副本</w:t>
      </w:r>
    </w:p>
    <w:p w14:paraId="5AF83A5F">
      <w:pPr>
        <w:spacing w:line="300" w:lineRule="auto"/>
        <w:rPr>
          <w:rFonts w:ascii="Times New Roman" w:hAnsi="Times New Roman"/>
          <w:color w:val="000000"/>
          <w:szCs w:val="21"/>
        </w:rPr>
      </w:pPr>
    </w:p>
    <w:p w14:paraId="7FE42BA5">
      <w:pPr>
        <w:spacing w:line="300" w:lineRule="auto"/>
        <w:jc w:val="center"/>
        <w:rPr>
          <w:rFonts w:ascii="Times New Roman" w:hAnsi="Times New Roman" w:eastAsia="黑体"/>
          <w:color w:val="000000"/>
          <w:sz w:val="36"/>
          <w:szCs w:val="36"/>
        </w:rPr>
      </w:pPr>
      <w:r>
        <w:rPr>
          <w:rFonts w:ascii="Times New Roman" w:hAnsi="Times New Roman" w:eastAsia="黑体"/>
          <w:color w:val="000000"/>
          <w:sz w:val="36"/>
          <w:szCs w:val="36"/>
          <w:u w:val="single"/>
        </w:rPr>
        <w:t xml:space="preserve">                      </w:t>
      </w:r>
      <w:r>
        <w:rPr>
          <w:rFonts w:ascii="Times New Roman" w:hAnsi="Times New Roman" w:eastAsia="黑体"/>
          <w:color w:val="000000"/>
          <w:sz w:val="36"/>
          <w:szCs w:val="36"/>
        </w:rPr>
        <w:t>（项目名称）施工招标</w:t>
      </w:r>
    </w:p>
    <w:p w14:paraId="6F6B50AD">
      <w:pPr>
        <w:spacing w:line="300" w:lineRule="auto"/>
        <w:rPr>
          <w:rFonts w:ascii="Times New Roman" w:hAnsi="Times New Roman"/>
          <w:b/>
          <w:color w:val="000000"/>
          <w:szCs w:val="21"/>
        </w:rPr>
      </w:pPr>
    </w:p>
    <w:p w14:paraId="0302E0E2">
      <w:pPr>
        <w:spacing w:line="300" w:lineRule="auto"/>
        <w:jc w:val="center"/>
        <w:rPr>
          <w:rFonts w:ascii="Times New Roman" w:hAnsi="Times New Roman"/>
          <w:b/>
          <w:color w:val="000000"/>
          <w:szCs w:val="21"/>
        </w:rPr>
      </w:pPr>
    </w:p>
    <w:p w14:paraId="2079DE19">
      <w:pPr>
        <w:spacing w:line="300" w:lineRule="auto"/>
        <w:rPr>
          <w:rFonts w:ascii="Times New Roman" w:hAnsi="Times New Roman"/>
          <w:b/>
          <w:color w:val="000000"/>
          <w:szCs w:val="21"/>
        </w:rPr>
      </w:pPr>
    </w:p>
    <w:p w14:paraId="7E4A2E10">
      <w:pPr>
        <w:spacing w:line="300" w:lineRule="auto"/>
        <w:rPr>
          <w:rFonts w:ascii="Times New Roman" w:hAnsi="Times New Roman"/>
          <w:b/>
          <w:color w:val="000000"/>
          <w:szCs w:val="21"/>
        </w:rPr>
      </w:pPr>
    </w:p>
    <w:p w14:paraId="7ED60981">
      <w:pPr>
        <w:spacing w:line="300" w:lineRule="auto"/>
        <w:rPr>
          <w:rFonts w:ascii="Times New Roman" w:hAnsi="Times New Roman"/>
          <w:b/>
          <w:color w:val="000000"/>
          <w:szCs w:val="21"/>
        </w:rPr>
      </w:pPr>
    </w:p>
    <w:p w14:paraId="74379711">
      <w:pPr>
        <w:spacing w:line="300" w:lineRule="auto"/>
        <w:rPr>
          <w:rFonts w:ascii="Times New Roman" w:hAnsi="Times New Roman"/>
          <w:b/>
          <w:color w:val="000000"/>
          <w:szCs w:val="21"/>
        </w:rPr>
      </w:pPr>
    </w:p>
    <w:p w14:paraId="13AB5519">
      <w:pPr>
        <w:spacing w:line="300" w:lineRule="auto"/>
        <w:jc w:val="center"/>
        <w:rPr>
          <w:rFonts w:ascii="Times New Roman" w:hAnsi="Times New Roman" w:eastAsia="黑体"/>
          <w:color w:val="000000"/>
          <w:sz w:val="72"/>
          <w:szCs w:val="72"/>
        </w:rPr>
      </w:pPr>
      <w:r>
        <w:rPr>
          <w:rFonts w:ascii="Times New Roman" w:hAnsi="Times New Roman" w:eastAsia="黑体"/>
          <w:color w:val="000000"/>
          <w:sz w:val="72"/>
          <w:szCs w:val="72"/>
        </w:rPr>
        <w:t>投 标 文 件</w:t>
      </w:r>
    </w:p>
    <w:p w14:paraId="2EEC658B">
      <w:pPr>
        <w:spacing w:line="300" w:lineRule="auto"/>
        <w:rPr>
          <w:rFonts w:ascii="Times New Roman" w:hAnsi="Times New Roman"/>
          <w:b/>
          <w:color w:val="000000"/>
          <w:szCs w:val="21"/>
        </w:rPr>
      </w:pPr>
    </w:p>
    <w:p w14:paraId="3E004795">
      <w:pPr>
        <w:spacing w:line="300" w:lineRule="auto"/>
        <w:rPr>
          <w:rFonts w:ascii="Times New Roman" w:hAnsi="Times New Roman"/>
          <w:color w:val="000000"/>
          <w:szCs w:val="21"/>
        </w:rPr>
      </w:pPr>
    </w:p>
    <w:p w14:paraId="2BC700E9">
      <w:pPr>
        <w:spacing w:line="300" w:lineRule="auto"/>
        <w:rPr>
          <w:rFonts w:ascii="Times New Roman" w:hAnsi="Times New Roman"/>
          <w:color w:val="000000"/>
          <w:szCs w:val="21"/>
        </w:rPr>
      </w:pPr>
    </w:p>
    <w:p w14:paraId="0C7AC60F">
      <w:pPr>
        <w:spacing w:line="300" w:lineRule="auto"/>
        <w:rPr>
          <w:rFonts w:ascii="Times New Roman" w:hAnsi="Times New Roman"/>
          <w:color w:val="000000"/>
          <w:szCs w:val="21"/>
        </w:rPr>
      </w:pPr>
    </w:p>
    <w:p w14:paraId="5D0CF800">
      <w:pPr>
        <w:spacing w:line="300" w:lineRule="auto"/>
        <w:rPr>
          <w:rFonts w:ascii="Times New Roman" w:hAnsi="Times New Roman"/>
          <w:color w:val="000000"/>
          <w:szCs w:val="21"/>
        </w:rPr>
      </w:pPr>
    </w:p>
    <w:p w14:paraId="55930DF0">
      <w:pPr>
        <w:spacing w:line="300" w:lineRule="auto"/>
        <w:rPr>
          <w:rFonts w:ascii="Times New Roman" w:hAnsi="Times New Roman"/>
          <w:color w:val="000000"/>
          <w:szCs w:val="21"/>
        </w:rPr>
      </w:pPr>
    </w:p>
    <w:p w14:paraId="058A8649">
      <w:pPr>
        <w:spacing w:line="300" w:lineRule="auto"/>
        <w:rPr>
          <w:rFonts w:ascii="Times New Roman" w:hAnsi="Times New Roman"/>
          <w:color w:val="000000"/>
          <w:szCs w:val="21"/>
        </w:rPr>
      </w:pPr>
    </w:p>
    <w:p w14:paraId="2E4E46AF">
      <w:pPr>
        <w:spacing w:line="300" w:lineRule="auto"/>
        <w:rPr>
          <w:rFonts w:ascii="Times New Roman" w:hAnsi="Times New Roman"/>
          <w:color w:val="000000"/>
          <w:szCs w:val="21"/>
        </w:rPr>
      </w:pPr>
    </w:p>
    <w:p w14:paraId="0BFA68D7">
      <w:pPr>
        <w:spacing w:line="300" w:lineRule="auto"/>
        <w:ind w:firstLine="140" w:firstLineChars="50"/>
        <w:rPr>
          <w:rFonts w:ascii="Times New Roman" w:hAnsi="Times New Roman" w:eastAsia="黑体"/>
          <w:color w:val="000000"/>
          <w:sz w:val="28"/>
          <w:szCs w:val="28"/>
          <w:u w:val="single"/>
        </w:rPr>
      </w:pPr>
      <w:r>
        <w:rPr>
          <w:rFonts w:ascii="Times New Roman" w:hAnsi="Times New Roman" w:eastAsia="黑体"/>
          <w:color w:val="000000"/>
          <w:sz w:val="28"/>
          <w:szCs w:val="28"/>
        </w:rPr>
        <w:t>投标人：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（盖单位公章）</w:t>
      </w:r>
    </w:p>
    <w:p w14:paraId="2094BB9A">
      <w:pPr>
        <w:spacing w:line="300" w:lineRule="auto"/>
        <w:jc w:val="center"/>
        <w:rPr>
          <w:rFonts w:ascii="Times New Roman" w:hAnsi="Times New Roman" w:eastAsia="黑体"/>
          <w:color w:val="000000"/>
          <w:sz w:val="28"/>
          <w:szCs w:val="28"/>
        </w:rPr>
      </w:pPr>
      <w:r>
        <w:rPr>
          <w:rFonts w:ascii="Times New Roman" w:hAnsi="Times New Roman" w:eastAsia="黑体"/>
          <w:color w:val="000000"/>
          <w:sz w:val="28"/>
          <w:szCs w:val="28"/>
        </w:rPr>
        <w:t>法定代表人或其委托代理人：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（签字或盖章）</w:t>
      </w:r>
    </w:p>
    <w:p w14:paraId="04EDBEF8">
      <w:pPr>
        <w:spacing w:line="300" w:lineRule="auto"/>
        <w:jc w:val="center"/>
        <w:rPr>
          <w:rFonts w:ascii="Times New Roman" w:hAnsi="Times New Roman" w:eastAsia="黑体"/>
          <w:color w:val="000000"/>
          <w:sz w:val="28"/>
          <w:szCs w:val="28"/>
          <w:u w:val="single"/>
        </w:rPr>
      </w:pPr>
    </w:p>
    <w:p w14:paraId="1B1083AE">
      <w:pPr>
        <w:spacing w:line="300" w:lineRule="auto"/>
        <w:jc w:val="center"/>
        <w:rPr>
          <w:rFonts w:ascii="Times New Roman" w:hAnsi="Times New Roman" w:eastAsia="黑体"/>
          <w:color w:val="000000"/>
          <w:sz w:val="28"/>
          <w:szCs w:val="28"/>
        </w:rPr>
        <w:sectPr>
          <w:pgSz w:w="11906" w:h="16838"/>
          <w:pgMar w:top="1418" w:right="1644" w:bottom="1247" w:left="1644" w:header="851" w:footer="992" w:gutter="0"/>
          <w:cols w:space="720" w:num="1"/>
          <w:docGrid w:type="lines" w:linePitch="312" w:charSpace="0"/>
        </w:sectPr>
      </w:pP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年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 月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日</w:t>
      </w:r>
    </w:p>
    <w:p w14:paraId="0615AB36">
      <w:pPr>
        <w:pStyle w:val="3"/>
        <w:spacing w:before="0" w:after="0" w:line="300" w:lineRule="auto"/>
        <w:jc w:val="center"/>
        <w:rPr>
          <w:rFonts w:ascii="Times New Roman" w:hAnsi="Times New Roman"/>
          <w:color w:val="000000"/>
        </w:rPr>
      </w:pPr>
      <w:bookmarkStart w:id="76" w:name="_Toc246997098"/>
      <w:bookmarkStart w:id="77" w:name="_Toc247085873"/>
      <w:bookmarkStart w:id="78" w:name="_Toc246996355"/>
      <w:bookmarkStart w:id="79" w:name="_Toc179632807"/>
      <w:bookmarkStart w:id="80" w:name="_Toc29962"/>
      <w:bookmarkStart w:id="81" w:name="_Toc296602601"/>
      <w:r>
        <w:rPr>
          <w:rFonts w:ascii="Times New Roman" w:hAnsi="Times New Roman"/>
          <w:color w:val="000000"/>
        </w:rPr>
        <w:t>目    录</w:t>
      </w:r>
      <w:bookmarkEnd w:id="76"/>
      <w:bookmarkEnd w:id="77"/>
      <w:bookmarkEnd w:id="78"/>
      <w:bookmarkEnd w:id="79"/>
      <w:bookmarkEnd w:id="80"/>
      <w:bookmarkEnd w:id="81"/>
    </w:p>
    <w:p w14:paraId="0855E2D4">
      <w:pPr>
        <w:spacing w:line="300" w:lineRule="auto"/>
        <w:rPr>
          <w:rFonts w:ascii="Times New Roman" w:hAnsi="Times New Roman"/>
          <w:color w:val="000000"/>
        </w:rPr>
      </w:pPr>
    </w:p>
    <w:p w14:paraId="61EB98EF">
      <w:pPr>
        <w:spacing w:line="300" w:lineRule="auto"/>
        <w:rPr>
          <w:rFonts w:ascii="Times New Roman" w:hAnsi="Times New Roman"/>
          <w:color w:val="000000"/>
          <w:sz w:val="24"/>
        </w:rPr>
      </w:pPr>
      <w:r>
        <w:rPr>
          <w:rFonts w:ascii="Times New Roman" w:hAnsi="Times New Roman"/>
          <w:color w:val="000000"/>
          <w:sz w:val="24"/>
        </w:rPr>
        <w:t>一、投标书格式</w:t>
      </w:r>
    </w:p>
    <w:p w14:paraId="2656F253">
      <w:pPr>
        <w:spacing w:line="300" w:lineRule="auto"/>
        <w:rPr>
          <w:rFonts w:ascii="Times New Roman" w:hAnsi="Times New Roman"/>
          <w:color w:val="000000"/>
          <w:sz w:val="24"/>
        </w:rPr>
      </w:pPr>
      <w:r>
        <w:rPr>
          <w:rFonts w:ascii="Times New Roman" w:hAnsi="Times New Roman"/>
          <w:color w:val="000000"/>
          <w:sz w:val="24"/>
        </w:rPr>
        <w:t>（1）投标函及投标函附录；</w:t>
      </w:r>
    </w:p>
    <w:p w14:paraId="709B2A66">
      <w:pPr>
        <w:spacing w:line="300" w:lineRule="auto"/>
        <w:rPr>
          <w:rFonts w:ascii="Times New Roman" w:hAnsi="Times New Roman"/>
          <w:color w:val="000000"/>
          <w:sz w:val="24"/>
        </w:rPr>
      </w:pPr>
      <w:r>
        <w:rPr>
          <w:rFonts w:ascii="Times New Roman" w:hAnsi="Times New Roman"/>
          <w:color w:val="000000"/>
          <w:sz w:val="24"/>
        </w:rPr>
        <w:t>（2）法人身份证明或授权代表授权委托书；</w:t>
      </w:r>
    </w:p>
    <w:p w14:paraId="0A3FCDF2">
      <w:pPr>
        <w:spacing w:line="360" w:lineRule="auto"/>
        <w:rPr>
          <w:rFonts w:ascii="Times New Roman" w:hAnsi="Times New Roman"/>
          <w:color w:val="000000"/>
          <w:sz w:val="24"/>
        </w:rPr>
      </w:pPr>
      <w:r>
        <w:rPr>
          <w:rFonts w:ascii="Times New Roman" w:hAnsi="Times New Roman"/>
          <w:color w:val="000000"/>
          <w:sz w:val="24"/>
        </w:rPr>
        <w:t>（3）开标一览表；</w:t>
      </w:r>
    </w:p>
    <w:p w14:paraId="748714D4">
      <w:pPr>
        <w:spacing w:line="360" w:lineRule="auto"/>
        <w:rPr>
          <w:rFonts w:hint="eastAsia" w:eastAsia="黑体"/>
        </w:rPr>
      </w:pPr>
      <w:r>
        <w:rPr>
          <w:rFonts w:hint="eastAsia" w:ascii="Times New Roman" w:hAnsi="Times New Roman"/>
          <w:color w:val="000000"/>
          <w:sz w:val="24"/>
        </w:rPr>
        <w:t>（4）</w:t>
      </w:r>
      <w:r>
        <w:rPr>
          <w:rFonts w:ascii="Times New Roman" w:hAnsi="Times New Roman"/>
          <w:color w:val="000000"/>
          <w:sz w:val="24"/>
        </w:rPr>
        <w:t>投标保证金</w:t>
      </w:r>
    </w:p>
    <w:p w14:paraId="70664907">
      <w:pPr>
        <w:spacing w:line="360" w:lineRule="auto"/>
        <w:rPr>
          <w:rFonts w:hint="eastAsia"/>
        </w:rPr>
      </w:pPr>
      <w:r>
        <w:rPr>
          <w:rFonts w:ascii="Times New Roman" w:hAnsi="Times New Roman"/>
          <w:color w:val="000000"/>
          <w:sz w:val="24"/>
        </w:rPr>
        <w:t>（</w:t>
      </w:r>
      <w:r>
        <w:rPr>
          <w:rFonts w:hint="eastAsia" w:ascii="Times New Roman" w:hAnsi="Times New Roman"/>
          <w:color w:val="000000"/>
          <w:sz w:val="24"/>
        </w:rPr>
        <w:t>5</w:t>
      </w:r>
      <w:r>
        <w:rPr>
          <w:rFonts w:ascii="Times New Roman" w:hAnsi="Times New Roman"/>
          <w:color w:val="000000"/>
          <w:sz w:val="24"/>
        </w:rPr>
        <w:t>）</w:t>
      </w:r>
      <w:r>
        <w:rPr>
          <w:rFonts w:hint="eastAsia" w:ascii="Times New Roman" w:hAnsi="Times New Roman"/>
          <w:color w:val="000000"/>
          <w:sz w:val="24"/>
        </w:rPr>
        <w:t>工程量清单</w:t>
      </w:r>
      <w:r>
        <w:rPr>
          <w:rFonts w:ascii="Times New Roman" w:hAnsi="Times New Roman"/>
          <w:color w:val="000000"/>
          <w:sz w:val="24"/>
        </w:rPr>
        <w:t>；</w:t>
      </w:r>
    </w:p>
    <w:p w14:paraId="660B5559">
      <w:pPr>
        <w:spacing w:line="300" w:lineRule="auto"/>
        <w:rPr>
          <w:rFonts w:ascii="Times New Roman" w:hAnsi="Times New Roman"/>
          <w:color w:val="000000"/>
          <w:sz w:val="24"/>
        </w:rPr>
      </w:pPr>
      <w:r>
        <w:rPr>
          <w:rFonts w:ascii="Times New Roman" w:hAnsi="Times New Roman"/>
          <w:color w:val="000000"/>
          <w:sz w:val="24"/>
        </w:rPr>
        <w:t>二、投标书技术</w:t>
      </w:r>
      <w:r>
        <w:rPr>
          <w:rFonts w:hint="eastAsia" w:ascii="Times New Roman" w:hAnsi="Times New Roman"/>
          <w:color w:val="000000"/>
          <w:sz w:val="24"/>
        </w:rPr>
        <w:t>标</w:t>
      </w:r>
      <w:r>
        <w:rPr>
          <w:rFonts w:ascii="Times New Roman" w:hAnsi="Times New Roman"/>
          <w:color w:val="000000"/>
          <w:sz w:val="24"/>
        </w:rPr>
        <w:t>格式</w:t>
      </w:r>
    </w:p>
    <w:p w14:paraId="5BD617C3">
      <w:pPr>
        <w:spacing w:line="300" w:lineRule="auto"/>
        <w:rPr>
          <w:rFonts w:ascii="Times New Roman" w:hAnsi="Times New Roman"/>
          <w:color w:val="000000"/>
          <w:sz w:val="24"/>
        </w:rPr>
      </w:pPr>
      <w:r>
        <w:rPr>
          <w:rFonts w:ascii="Times New Roman" w:hAnsi="Times New Roman"/>
          <w:color w:val="000000"/>
          <w:sz w:val="24"/>
        </w:rPr>
        <w:t>（1）施工组织设计；</w:t>
      </w:r>
    </w:p>
    <w:p w14:paraId="2D070AE4">
      <w:pPr>
        <w:spacing w:line="300" w:lineRule="auto"/>
        <w:rPr>
          <w:rFonts w:ascii="Times New Roman" w:hAnsi="Times New Roman"/>
          <w:color w:val="000000"/>
          <w:sz w:val="24"/>
        </w:rPr>
      </w:pPr>
      <w:r>
        <w:rPr>
          <w:rFonts w:ascii="Times New Roman" w:hAnsi="Times New Roman"/>
          <w:color w:val="000000"/>
          <w:sz w:val="24"/>
        </w:rPr>
        <w:t>（2）项目管理机构；</w:t>
      </w:r>
    </w:p>
    <w:p w14:paraId="57B8254C">
      <w:pPr>
        <w:spacing w:line="300" w:lineRule="auto"/>
        <w:rPr>
          <w:rFonts w:ascii="Times New Roman" w:hAnsi="Times New Roman"/>
          <w:color w:val="000000"/>
          <w:sz w:val="24"/>
        </w:rPr>
      </w:pPr>
      <w:r>
        <w:rPr>
          <w:rFonts w:ascii="Times New Roman" w:hAnsi="Times New Roman"/>
          <w:color w:val="000000"/>
          <w:sz w:val="24"/>
        </w:rPr>
        <w:t>（</w:t>
      </w:r>
      <w:r>
        <w:rPr>
          <w:rFonts w:hint="eastAsia" w:ascii="Times New Roman" w:hAnsi="Times New Roman"/>
          <w:color w:val="000000"/>
          <w:sz w:val="24"/>
          <w:lang w:val="en-US" w:eastAsia="zh-CN"/>
        </w:rPr>
        <w:t>3</w:t>
      </w:r>
      <w:r>
        <w:rPr>
          <w:rFonts w:ascii="Times New Roman" w:hAnsi="Times New Roman"/>
          <w:color w:val="000000"/>
          <w:sz w:val="24"/>
        </w:rPr>
        <w:t>）沥青材料供应专项方案</w:t>
      </w:r>
    </w:p>
    <w:p w14:paraId="0F9DEACD">
      <w:pPr>
        <w:spacing w:line="300" w:lineRule="auto"/>
        <w:rPr>
          <w:rFonts w:ascii="Times New Roman" w:hAnsi="Times New Roman"/>
          <w:color w:val="000000"/>
          <w:sz w:val="24"/>
        </w:rPr>
      </w:pPr>
      <w:r>
        <w:rPr>
          <w:rFonts w:ascii="Times New Roman" w:hAnsi="Times New Roman"/>
          <w:color w:val="000000"/>
          <w:sz w:val="24"/>
        </w:rPr>
        <w:t>三、资格审查文件；</w:t>
      </w:r>
    </w:p>
    <w:p w14:paraId="3845834E">
      <w:pPr>
        <w:spacing w:line="300" w:lineRule="auto"/>
        <w:rPr>
          <w:rFonts w:ascii="Times New Roman" w:hAnsi="Times New Roman"/>
          <w:color w:val="000000"/>
          <w:sz w:val="24"/>
        </w:rPr>
      </w:pPr>
      <w:r>
        <w:rPr>
          <w:rFonts w:ascii="Times New Roman" w:hAnsi="Times New Roman"/>
          <w:color w:val="000000"/>
          <w:sz w:val="24"/>
        </w:rPr>
        <w:t>四、其他</w:t>
      </w:r>
      <w:r>
        <w:rPr>
          <w:rFonts w:hint="eastAsia" w:ascii="Times New Roman" w:hAnsi="Times New Roman"/>
          <w:color w:val="000000"/>
          <w:sz w:val="24"/>
        </w:rPr>
        <w:t>补充</w:t>
      </w:r>
      <w:r>
        <w:rPr>
          <w:rFonts w:ascii="Times New Roman" w:hAnsi="Times New Roman"/>
          <w:color w:val="000000"/>
          <w:sz w:val="24"/>
        </w:rPr>
        <w:t>材料。</w:t>
      </w:r>
      <w:bookmarkStart w:id="82" w:name="_Toc144974857"/>
      <w:bookmarkStart w:id="83" w:name="_Toc152045788"/>
      <w:bookmarkStart w:id="84" w:name="_Toc152042577"/>
      <w:bookmarkStart w:id="85" w:name="_Toc246996356"/>
      <w:bookmarkStart w:id="86" w:name="_Toc246997099"/>
      <w:bookmarkStart w:id="87" w:name="_Toc247085874"/>
      <w:bookmarkStart w:id="88" w:name="_Toc296602602"/>
    </w:p>
    <w:p w14:paraId="5DCB1017">
      <w:pPr>
        <w:spacing w:line="300" w:lineRule="auto"/>
        <w:jc w:val="center"/>
        <w:rPr>
          <w:rFonts w:ascii="Times New Roman" w:hAnsi="Times New Roman"/>
          <w:b/>
          <w:color w:val="000000"/>
        </w:rPr>
      </w:pPr>
      <w:r>
        <w:rPr>
          <w:rFonts w:ascii="Times New Roman" w:hAnsi="Times New Roman"/>
          <w:b/>
          <w:color w:val="000000"/>
        </w:rPr>
        <w:br w:type="page"/>
      </w:r>
    </w:p>
    <w:p w14:paraId="52352A81">
      <w:pPr>
        <w:spacing w:line="300" w:lineRule="auto"/>
        <w:jc w:val="center"/>
        <w:rPr>
          <w:rFonts w:ascii="Times New Roman" w:hAnsi="Times New Roman"/>
          <w:b/>
          <w:bCs/>
          <w:color w:val="000000"/>
          <w:sz w:val="32"/>
          <w:szCs w:val="32"/>
        </w:rPr>
      </w:pPr>
      <w:r>
        <w:rPr>
          <w:rFonts w:ascii="Times New Roman" w:hAnsi="Times New Roman"/>
          <w:b/>
          <w:bCs/>
          <w:color w:val="000000"/>
          <w:sz w:val="32"/>
          <w:szCs w:val="32"/>
        </w:rPr>
        <w:t>一、</w:t>
      </w:r>
      <w:bookmarkEnd w:id="82"/>
      <w:bookmarkEnd w:id="83"/>
      <w:bookmarkEnd w:id="84"/>
      <w:bookmarkEnd w:id="85"/>
      <w:bookmarkEnd w:id="86"/>
      <w:bookmarkEnd w:id="87"/>
      <w:bookmarkEnd w:id="88"/>
      <w:r>
        <w:rPr>
          <w:rFonts w:ascii="Times New Roman" w:hAnsi="Times New Roman"/>
          <w:b/>
          <w:bCs/>
          <w:color w:val="000000"/>
          <w:sz w:val="32"/>
          <w:szCs w:val="32"/>
        </w:rPr>
        <w:t>投标函及投标函附录</w:t>
      </w:r>
    </w:p>
    <w:p w14:paraId="5CAC8322">
      <w:pPr>
        <w:pStyle w:val="4"/>
        <w:spacing w:before="0" w:after="0" w:line="300" w:lineRule="auto"/>
        <w:jc w:val="center"/>
        <w:rPr>
          <w:rFonts w:hint="eastAsia"/>
          <w:color w:val="000000"/>
        </w:rPr>
      </w:pPr>
      <w:bookmarkStart w:id="89" w:name="_Toc8882"/>
      <w:bookmarkStart w:id="90" w:name="_Toc152042578"/>
      <w:bookmarkStart w:id="91" w:name="_Toc246996357"/>
      <w:bookmarkStart w:id="92" w:name="_Toc152045789"/>
      <w:bookmarkStart w:id="93" w:name="_Toc296602603"/>
      <w:bookmarkStart w:id="94" w:name="_Toc246997100"/>
      <w:bookmarkStart w:id="95" w:name="_Toc247085875"/>
      <w:bookmarkStart w:id="96" w:name="_Toc144974858"/>
      <w:r>
        <w:rPr>
          <w:color w:val="000000"/>
        </w:rPr>
        <w:t>（一）投标函</w:t>
      </w:r>
      <w:bookmarkEnd w:id="89"/>
      <w:bookmarkEnd w:id="90"/>
      <w:bookmarkEnd w:id="91"/>
      <w:bookmarkEnd w:id="92"/>
      <w:bookmarkEnd w:id="93"/>
      <w:bookmarkEnd w:id="94"/>
      <w:bookmarkEnd w:id="95"/>
      <w:bookmarkEnd w:id="96"/>
    </w:p>
    <w:p w14:paraId="0BC8BF97">
      <w:pPr>
        <w:spacing w:line="300" w:lineRule="auto"/>
        <w:rPr>
          <w:rFonts w:ascii="Times New Roman" w:hAnsi="Times New Roman"/>
          <w:color w:val="000000"/>
          <w:szCs w:val="21"/>
        </w:rPr>
      </w:pPr>
      <w:bookmarkStart w:id="97" w:name="_Toc144974859"/>
      <w:bookmarkStart w:id="98" w:name="_Toc152045790"/>
      <w:bookmarkStart w:id="99" w:name="_Toc152042579"/>
      <w:bookmarkStart w:id="100" w:name="_Toc246996358"/>
      <w:bookmarkStart w:id="101" w:name="_Toc296602604"/>
      <w:bookmarkStart w:id="102" w:name="_Toc247085876"/>
      <w:bookmarkStart w:id="103" w:name="_Toc246997101"/>
      <w:r>
        <w:rPr>
          <w:rFonts w:ascii="Times New Roman" w:hAnsi="Times New Roman"/>
          <w:color w:val="000000"/>
          <w:szCs w:val="21"/>
          <w:u w:val="single"/>
        </w:rPr>
        <w:t xml:space="preserve">                        </w:t>
      </w:r>
      <w:r>
        <w:rPr>
          <w:rFonts w:ascii="Times New Roman" w:hAnsi="Times New Roman"/>
          <w:color w:val="000000"/>
          <w:szCs w:val="21"/>
        </w:rPr>
        <w:t>（招标人名称）：</w:t>
      </w:r>
    </w:p>
    <w:p w14:paraId="0106180E">
      <w:pPr>
        <w:spacing w:line="300" w:lineRule="auto"/>
        <w:ind w:firstLine="420" w:firstLineChars="200"/>
        <w:rPr>
          <w:rFonts w:ascii="Times New Roman" w:hAnsi="Times New Roman"/>
          <w:color w:val="000000"/>
          <w:szCs w:val="21"/>
        </w:rPr>
      </w:pPr>
      <w:r>
        <w:rPr>
          <w:rFonts w:ascii="Times New Roman" w:hAnsi="Times New Roman"/>
          <w:color w:val="000000"/>
          <w:szCs w:val="21"/>
        </w:rPr>
        <w:t>1．我方已仔细研究了</w:t>
      </w:r>
      <w:r>
        <w:rPr>
          <w:rFonts w:ascii="Times New Roman" w:hAnsi="Times New Roman"/>
          <w:color w:val="000000"/>
          <w:szCs w:val="21"/>
          <w:u w:val="single"/>
        </w:rPr>
        <w:t xml:space="preserve">   </w:t>
      </w:r>
      <w:r>
        <w:rPr>
          <w:rFonts w:ascii="Times New Roman" w:hAnsi="Times New Roman"/>
          <w:color w:val="000000"/>
          <w:szCs w:val="21"/>
        </w:rPr>
        <w:t>（项目名称）招标文件的全部内容，愿意以人民币（大写）</w:t>
      </w:r>
      <w:r>
        <w:rPr>
          <w:rFonts w:hint="eastAsia" w:ascii="Times New Roman" w:hAnsi="Times New Roman"/>
          <w:color w:val="000000"/>
          <w:szCs w:val="21"/>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）的总报价，工期</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rPr>
        <w:t>日历天，按合同约定实施和完成承包工程，修补工程中的任何缺陷，工程质量达到</w:t>
      </w:r>
      <w:r>
        <w:rPr>
          <w:rFonts w:ascii="Times New Roman" w:hAnsi="Times New Roman"/>
          <w:color w:val="000000"/>
          <w:szCs w:val="21"/>
          <w:u w:val="single"/>
        </w:rPr>
        <w:t xml:space="preserve">       </w:t>
      </w:r>
      <w:r>
        <w:rPr>
          <w:rFonts w:ascii="Times New Roman" w:hAnsi="Times New Roman"/>
          <w:color w:val="000000"/>
          <w:szCs w:val="21"/>
        </w:rPr>
        <w:t>。</w:t>
      </w:r>
    </w:p>
    <w:p w14:paraId="1D8DE731">
      <w:pPr>
        <w:spacing w:line="300" w:lineRule="auto"/>
        <w:ind w:firstLine="420" w:firstLineChars="200"/>
        <w:rPr>
          <w:rFonts w:ascii="Times New Roman" w:hAnsi="Times New Roman"/>
          <w:color w:val="000000"/>
          <w:szCs w:val="21"/>
        </w:rPr>
      </w:pPr>
      <w:r>
        <w:rPr>
          <w:rFonts w:ascii="Times New Roman" w:hAnsi="Times New Roman"/>
          <w:color w:val="000000"/>
          <w:szCs w:val="21"/>
        </w:rPr>
        <w:t>2．我方承诺在招标文件规定的投标有效期内不修改、撤销投标文件。</w:t>
      </w:r>
    </w:p>
    <w:p w14:paraId="04F74807">
      <w:pPr>
        <w:spacing w:line="300" w:lineRule="auto"/>
        <w:ind w:firstLine="420" w:firstLineChars="200"/>
        <w:rPr>
          <w:rFonts w:ascii="Times New Roman" w:hAnsi="Times New Roman"/>
          <w:color w:val="000000"/>
          <w:szCs w:val="21"/>
        </w:rPr>
      </w:pPr>
      <w:r>
        <w:rPr>
          <w:rFonts w:ascii="Times New Roman" w:hAnsi="Times New Roman"/>
          <w:color w:val="000000"/>
          <w:szCs w:val="21"/>
        </w:rPr>
        <w:t>3．随同本投标函提交投标保证金一份，金额为人民币（大写）</w:t>
      </w:r>
      <w:r>
        <w:rPr>
          <w:rFonts w:ascii="Times New Roman" w:hAnsi="Times New Roman"/>
          <w:color w:val="000000"/>
          <w:szCs w:val="21"/>
          <w:u w:val="single"/>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p>
    <w:p w14:paraId="25B684FC">
      <w:pPr>
        <w:spacing w:line="300" w:lineRule="auto"/>
        <w:ind w:firstLine="420" w:firstLineChars="200"/>
        <w:rPr>
          <w:rFonts w:ascii="Times New Roman" w:hAnsi="Times New Roman"/>
          <w:color w:val="000000"/>
          <w:szCs w:val="21"/>
        </w:rPr>
      </w:pPr>
      <w:r>
        <w:rPr>
          <w:rFonts w:ascii="Times New Roman" w:hAnsi="Times New Roman"/>
          <w:color w:val="000000"/>
          <w:szCs w:val="21"/>
        </w:rPr>
        <w:t>4．如我方中标：</w:t>
      </w:r>
    </w:p>
    <w:p w14:paraId="43AE7DF7">
      <w:pPr>
        <w:spacing w:line="300" w:lineRule="auto"/>
        <w:ind w:firstLine="718" w:firstLineChars="342"/>
        <w:rPr>
          <w:rFonts w:ascii="Times New Roman" w:hAnsi="Times New Roman"/>
          <w:color w:val="000000"/>
          <w:szCs w:val="21"/>
        </w:rPr>
      </w:pPr>
      <w:r>
        <w:rPr>
          <w:rFonts w:ascii="Times New Roman" w:hAnsi="Times New Roman"/>
          <w:color w:val="000000"/>
          <w:szCs w:val="21"/>
        </w:rPr>
        <w:t>（1）我方承诺在收到成交候选人后，在成交候选人规定的期限内与你方签订合同。</w:t>
      </w:r>
    </w:p>
    <w:p w14:paraId="69ECE9AC">
      <w:pPr>
        <w:spacing w:line="300" w:lineRule="auto"/>
        <w:ind w:firstLine="718" w:firstLineChars="342"/>
        <w:rPr>
          <w:rFonts w:ascii="Times New Roman" w:hAnsi="Times New Roman"/>
          <w:color w:val="000000"/>
          <w:szCs w:val="21"/>
        </w:rPr>
      </w:pPr>
      <w:r>
        <w:rPr>
          <w:rFonts w:ascii="Times New Roman" w:hAnsi="Times New Roman"/>
          <w:color w:val="000000"/>
          <w:szCs w:val="21"/>
        </w:rPr>
        <w:t>（2）随同本投标函递交的投标函附录属于合同文件的组成部分。</w:t>
      </w:r>
    </w:p>
    <w:p w14:paraId="1859323B">
      <w:pPr>
        <w:spacing w:line="300" w:lineRule="auto"/>
        <w:ind w:firstLine="718" w:firstLineChars="342"/>
        <w:rPr>
          <w:rFonts w:ascii="Times New Roman" w:hAnsi="Times New Roman"/>
          <w:color w:val="000000"/>
          <w:szCs w:val="21"/>
        </w:rPr>
      </w:pPr>
      <w:r>
        <w:rPr>
          <w:rFonts w:ascii="Times New Roman" w:hAnsi="Times New Roman"/>
          <w:color w:val="000000"/>
          <w:szCs w:val="21"/>
        </w:rPr>
        <w:t>（3）我方承诺按照招标文件规定向你方递交履约担保。</w:t>
      </w:r>
    </w:p>
    <w:p w14:paraId="7244FA5D">
      <w:pPr>
        <w:spacing w:line="300" w:lineRule="auto"/>
        <w:ind w:firstLine="718" w:firstLineChars="342"/>
        <w:rPr>
          <w:rFonts w:ascii="Times New Roman" w:hAnsi="Times New Roman"/>
          <w:color w:val="000000"/>
          <w:szCs w:val="21"/>
        </w:rPr>
      </w:pPr>
      <w:r>
        <w:rPr>
          <w:rFonts w:ascii="Times New Roman" w:hAnsi="Times New Roman"/>
          <w:color w:val="000000"/>
          <w:szCs w:val="21"/>
        </w:rPr>
        <w:t>（4）我方承诺在合同约定的期限内完成并移交全部合同工程。</w:t>
      </w:r>
    </w:p>
    <w:p w14:paraId="77AD76C6">
      <w:pPr>
        <w:spacing w:line="300" w:lineRule="auto"/>
        <w:ind w:firstLine="420" w:firstLineChars="200"/>
        <w:rPr>
          <w:rFonts w:ascii="Times New Roman" w:hAnsi="Times New Roman"/>
          <w:color w:val="000000"/>
        </w:rPr>
      </w:pPr>
      <w:r>
        <w:rPr>
          <w:rFonts w:ascii="Times New Roman" w:hAnsi="Times New Roman"/>
          <w:color w:val="000000"/>
          <w:szCs w:val="21"/>
        </w:rPr>
        <w:t>5．</w:t>
      </w:r>
      <w:r>
        <w:rPr>
          <w:rFonts w:ascii="Times New Roman" w:hAnsi="Times New Roman"/>
          <w:color w:val="000000"/>
        </w:rPr>
        <w:t>我方在此声明，所递交的投标文件及有关资料内容完整、真实和准确，且不存在第二章“须知”第1.4.2项和第1.4.3项规定的任何一种情形。</w:t>
      </w:r>
    </w:p>
    <w:p w14:paraId="59D6A120">
      <w:pPr>
        <w:spacing w:line="300" w:lineRule="auto"/>
        <w:ind w:firstLine="420" w:firstLineChars="200"/>
        <w:rPr>
          <w:rFonts w:ascii="Times New Roman" w:hAnsi="Times New Roman"/>
          <w:color w:val="000000"/>
          <w:szCs w:val="21"/>
        </w:rPr>
      </w:pPr>
      <w:r>
        <w:rPr>
          <w:rFonts w:ascii="Times New Roman" w:hAnsi="Times New Roman"/>
          <w:color w:val="000000"/>
        </w:rPr>
        <w:t>6.</w:t>
      </w:r>
      <w:r>
        <w:rPr>
          <w:rFonts w:ascii="Times New Roman" w:hAnsi="Times New Roman" w:eastAsia="仿宋_GB2312"/>
          <w:color w:val="000000"/>
          <w:sz w:val="28"/>
        </w:rPr>
        <w:t xml:space="preserve"> </w:t>
      </w:r>
      <w:r>
        <w:rPr>
          <w:rFonts w:ascii="Times New Roman" w:hAnsi="Times New Roman"/>
          <w:color w:val="000000"/>
        </w:rPr>
        <w:t>我方承诺参加投标活动近三年内无违法犯罪及其它不良行为记录，如有经行政主管部门查实或通报的不良记录，我方放弃本次项目投标权利，并无条件承担相应后果和损失。</w:t>
      </w:r>
    </w:p>
    <w:p w14:paraId="4FB128BE">
      <w:pPr>
        <w:spacing w:line="300" w:lineRule="auto"/>
        <w:ind w:firstLine="420" w:firstLineChars="200"/>
        <w:rPr>
          <w:rFonts w:ascii="Times New Roman" w:hAnsi="Times New Roman"/>
          <w:color w:val="000000"/>
          <w:szCs w:val="21"/>
        </w:rPr>
      </w:pPr>
      <w:r>
        <w:rPr>
          <w:rFonts w:ascii="Times New Roman" w:hAnsi="Times New Roman"/>
          <w:color w:val="000000"/>
          <w:szCs w:val="21"/>
        </w:rPr>
        <w:t>7．</w:t>
      </w:r>
      <w:r>
        <w:rPr>
          <w:rFonts w:ascii="Times New Roman" w:hAnsi="Times New Roman"/>
          <w:color w:val="000000"/>
          <w:szCs w:val="21"/>
          <w:u w:val="single"/>
        </w:rPr>
        <w:t xml:space="preserve">                                       </w:t>
      </w:r>
      <w:r>
        <w:rPr>
          <w:rFonts w:ascii="Times New Roman" w:hAnsi="Times New Roman"/>
          <w:color w:val="000000"/>
          <w:szCs w:val="21"/>
        </w:rPr>
        <w:t>（其他补充说明）。</w:t>
      </w:r>
    </w:p>
    <w:p w14:paraId="4956B111">
      <w:pPr>
        <w:spacing w:line="300" w:lineRule="auto"/>
        <w:ind w:firstLine="3675" w:firstLineChars="1750"/>
        <w:rPr>
          <w:rFonts w:ascii="Times New Roman" w:hAnsi="Times New Roman"/>
          <w:color w:val="000000"/>
          <w:szCs w:val="21"/>
        </w:rPr>
      </w:pPr>
      <w:r>
        <w:rPr>
          <w:rFonts w:ascii="Times New Roman" w:hAnsi="Times New Roman"/>
          <w:color w:val="000000"/>
          <w:szCs w:val="21"/>
        </w:rPr>
        <w:t>投标单位：</w:t>
      </w:r>
      <w:r>
        <w:rPr>
          <w:rFonts w:ascii="Times New Roman" w:hAnsi="Times New Roman"/>
          <w:color w:val="000000"/>
          <w:szCs w:val="21"/>
          <w:u w:val="single"/>
        </w:rPr>
        <w:t xml:space="preserve">                      </w:t>
      </w:r>
      <w:r>
        <w:rPr>
          <w:rFonts w:ascii="Times New Roman" w:hAnsi="Times New Roman"/>
          <w:color w:val="000000"/>
          <w:szCs w:val="21"/>
        </w:rPr>
        <w:t>（盖单位章）</w:t>
      </w:r>
    </w:p>
    <w:p w14:paraId="0BDC02D7">
      <w:pPr>
        <w:spacing w:line="300" w:lineRule="auto"/>
        <w:ind w:firstLine="3675" w:firstLineChars="1750"/>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58A60992">
      <w:pPr>
        <w:spacing w:line="300" w:lineRule="auto"/>
        <w:ind w:firstLine="3675" w:firstLineChars="1750"/>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7A122125">
      <w:pPr>
        <w:spacing w:line="300" w:lineRule="auto"/>
        <w:ind w:firstLine="3675" w:firstLineChars="1750"/>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26F3BB3C">
      <w:pPr>
        <w:spacing w:line="300" w:lineRule="auto"/>
        <w:ind w:firstLine="3675" w:firstLineChars="1750"/>
        <w:rPr>
          <w:rFonts w:ascii="Times New Roman" w:hAnsi="Times New Roman"/>
          <w:color w:val="000000"/>
          <w:szCs w:val="21"/>
        </w:rPr>
      </w:pPr>
      <w:r>
        <w:rPr>
          <w:rFonts w:ascii="Times New Roman" w:hAnsi="Times New Roman"/>
          <w:color w:val="000000"/>
          <w:szCs w:val="21"/>
        </w:rPr>
        <w:t>电话：</w:t>
      </w:r>
      <w:r>
        <w:rPr>
          <w:rFonts w:ascii="Times New Roman" w:hAnsi="Times New Roman"/>
          <w:color w:val="000000"/>
          <w:szCs w:val="21"/>
          <w:u w:val="single"/>
        </w:rPr>
        <w:t xml:space="preserve">                                     </w:t>
      </w:r>
    </w:p>
    <w:p w14:paraId="08AA9877">
      <w:pPr>
        <w:spacing w:line="300" w:lineRule="auto"/>
        <w:ind w:firstLine="3675" w:firstLineChars="17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2D38DD5C">
      <w:pPr>
        <w:spacing w:line="300" w:lineRule="auto"/>
        <w:ind w:firstLine="5040" w:firstLineChars="2400"/>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3B9BC015">
      <w:pPr>
        <w:spacing w:line="300" w:lineRule="auto"/>
        <w:ind w:firstLine="5040" w:firstLineChars="2400"/>
        <w:rPr>
          <w:rFonts w:ascii="Times New Roman" w:hAnsi="Times New Roman"/>
          <w:color w:val="000000"/>
          <w:szCs w:val="21"/>
        </w:rPr>
      </w:pPr>
    </w:p>
    <w:p w14:paraId="0A2FAC3F">
      <w:pPr>
        <w:spacing w:line="300" w:lineRule="auto"/>
        <w:jc w:val="left"/>
        <w:rPr>
          <w:rFonts w:hint="eastAsia"/>
        </w:rPr>
      </w:pPr>
      <w:r>
        <w:rPr>
          <w:rFonts w:ascii="Times New Roman" w:hAnsi="Times New Roman" w:eastAsia="楷体_GB2312"/>
          <w:b/>
          <w:color w:val="000000"/>
          <w:kern w:val="0"/>
          <w:sz w:val="24"/>
          <w:lang w:val="zh-CN"/>
        </w:rPr>
        <w:t>注：本“投标函”除装订在投标文件中，另外需与“授权委托书”共同密封在一单独的信封内，与投标文件一同递交。</w:t>
      </w:r>
    </w:p>
    <w:p w14:paraId="17451165">
      <w:pPr>
        <w:rPr>
          <w:rFonts w:hint="eastAsia"/>
          <w:color w:val="000000"/>
        </w:rPr>
      </w:pPr>
      <w:r>
        <w:rPr>
          <w:rFonts w:ascii="Times New Roman" w:hAnsi="Times New Roman"/>
        </w:rPr>
        <w:br w:type="page"/>
      </w:r>
    </w:p>
    <w:p w14:paraId="4FB91DD7">
      <w:pPr>
        <w:pStyle w:val="4"/>
        <w:spacing w:before="0" w:after="0" w:line="300" w:lineRule="auto"/>
        <w:jc w:val="center"/>
        <w:rPr>
          <w:rFonts w:hint="eastAsia"/>
          <w:color w:val="000000"/>
        </w:rPr>
      </w:pPr>
      <w:bookmarkStart w:id="104" w:name="_Toc6870"/>
      <w:r>
        <w:rPr>
          <w:color w:val="000000"/>
        </w:rPr>
        <w:t>投标函附录</w:t>
      </w:r>
      <w:bookmarkEnd w:id="97"/>
      <w:bookmarkEnd w:id="98"/>
      <w:bookmarkEnd w:id="99"/>
      <w:bookmarkEnd w:id="100"/>
      <w:bookmarkEnd w:id="101"/>
      <w:bookmarkEnd w:id="102"/>
      <w:bookmarkEnd w:id="103"/>
      <w:bookmarkEnd w:id="104"/>
    </w:p>
    <w:p w14:paraId="0BBAAC42">
      <w:pPr>
        <w:spacing w:line="300" w:lineRule="auto"/>
        <w:rPr>
          <w:rFonts w:ascii="Times New Roman" w:hAnsi="Times New Roman" w:eastAsia="黑体"/>
          <w:color w:val="000000"/>
          <w:sz w:val="2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499"/>
        <w:gridCol w:w="4428"/>
        <w:gridCol w:w="768"/>
      </w:tblGrid>
      <w:tr w14:paraId="59A9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136F09B7">
            <w:pPr>
              <w:spacing w:line="300" w:lineRule="auto"/>
              <w:jc w:val="center"/>
              <w:rPr>
                <w:rFonts w:ascii="Times New Roman" w:hAnsi="Times New Roman"/>
                <w:b/>
                <w:color w:val="000000"/>
                <w:szCs w:val="21"/>
              </w:rPr>
            </w:pPr>
            <w:r>
              <w:rPr>
                <w:rFonts w:ascii="Times New Roman" w:hAnsi="Times New Roman"/>
                <w:b/>
                <w:color w:val="000000"/>
                <w:szCs w:val="21"/>
              </w:rPr>
              <w:t>序号</w:t>
            </w:r>
          </w:p>
        </w:tc>
        <w:tc>
          <w:tcPr>
            <w:tcW w:w="2499" w:type="dxa"/>
            <w:vAlign w:val="center"/>
          </w:tcPr>
          <w:p w14:paraId="25D46BA0">
            <w:pPr>
              <w:spacing w:line="300" w:lineRule="auto"/>
              <w:jc w:val="center"/>
              <w:rPr>
                <w:rFonts w:ascii="Times New Roman" w:hAnsi="Times New Roman"/>
                <w:b/>
                <w:color w:val="000000"/>
                <w:szCs w:val="21"/>
              </w:rPr>
            </w:pPr>
            <w:r>
              <w:rPr>
                <w:rFonts w:ascii="Times New Roman" w:hAnsi="Times New Roman"/>
                <w:b/>
                <w:color w:val="000000"/>
                <w:szCs w:val="21"/>
              </w:rPr>
              <w:t>条款名称</w:t>
            </w:r>
          </w:p>
        </w:tc>
        <w:tc>
          <w:tcPr>
            <w:tcW w:w="4428" w:type="dxa"/>
            <w:vAlign w:val="center"/>
          </w:tcPr>
          <w:p w14:paraId="6131B12A">
            <w:pPr>
              <w:spacing w:line="300" w:lineRule="auto"/>
              <w:jc w:val="center"/>
              <w:rPr>
                <w:rFonts w:ascii="Times New Roman" w:hAnsi="Times New Roman"/>
                <w:b/>
                <w:color w:val="000000"/>
                <w:szCs w:val="21"/>
              </w:rPr>
            </w:pPr>
            <w:r>
              <w:rPr>
                <w:rFonts w:ascii="Times New Roman" w:hAnsi="Times New Roman"/>
                <w:b/>
                <w:color w:val="000000"/>
                <w:szCs w:val="21"/>
              </w:rPr>
              <w:t>约定内容</w:t>
            </w:r>
          </w:p>
        </w:tc>
        <w:tc>
          <w:tcPr>
            <w:tcW w:w="768" w:type="dxa"/>
            <w:vAlign w:val="center"/>
          </w:tcPr>
          <w:p w14:paraId="4A668281">
            <w:pPr>
              <w:spacing w:line="300" w:lineRule="auto"/>
              <w:jc w:val="center"/>
              <w:rPr>
                <w:rFonts w:ascii="Times New Roman" w:hAnsi="Times New Roman"/>
                <w:b/>
                <w:color w:val="000000"/>
                <w:szCs w:val="21"/>
              </w:rPr>
            </w:pPr>
            <w:r>
              <w:rPr>
                <w:rFonts w:ascii="Times New Roman" w:hAnsi="Times New Roman"/>
                <w:b/>
                <w:color w:val="000000"/>
                <w:szCs w:val="21"/>
              </w:rPr>
              <w:t>备注</w:t>
            </w:r>
          </w:p>
        </w:tc>
      </w:tr>
      <w:tr w14:paraId="2A45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56642D8F">
            <w:pPr>
              <w:spacing w:line="300" w:lineRule="auto"/>
              <w:jc w:val="center"/>
              <w:rPr>
                <w:rFonts w:ascii="Times New Roman" w:hAnsi="Times New Roman"/>
                <w:color w:val="000000"/>
                <w:szCs w:val="21"/>
              </w:rPr>
            </w:pPr>
            <w:r>
              <w:rPr>
                <w:rFonts w:ascii="Times New Roman" w:hAnsi="Times New Roman"/>
                <w:color w:val="000000"/>
                <w:szCs w:val="21"/>
              </w:rPr>
              <w:t>1</w:t>
            </w:r>
          </w:p>
        </w:tc>
        <w:tc>
          <w:tcPr>
            <w:tcW w:w="2499" w:type="dxa"/>
            <w:vAlign w:val="center"/>
          </w:tcPr>
          <w:p w14:paraId="5C349A7E">
            <w:pPr>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4428" w:type="dxa"/>
            <w:vAlign w:val="center"/>
          </w:tcPr>
          <w:p w14:paraId="6917C1EA">
            <w:pPr>
              <w:spacing w:line="300" w:lineRule="auto"/>
              <w:rPr>
                <w:rFonts w:ascii="Times New Roman" w:hAnsi="Times New Roman"/>
                <w:color w:val="000000"/>
                <w:szCs w:val="21"/>
                <w:u w:val="single"/>
              </w:rPr>
            </w:pPr>
            <w:r>
              <w:rPr>
                <w:rFonts w:ascii="Times New Roman" w:hAnsi="Times New Roman"/>
                <w:color w:val="000000"/>
                <w:szCs w:val="21"/>
              </w:rPr>
              <w:t>姓名：</w:t>
            </w:r>
            <w:r>
              <w:rPr>
                <w:rFonts w:ascii="Times New Roman" w:hAnsi="Times New Roman"/>
                <w:color w:val="000000"/>
                <w:szCs w:val="21"/>
                <w:u w:val="single"/>
              </w:rPr>
              <w:t xml:space="preserve">        </w:t>
            </w:r>
          </w:p>
        </w:tc>
        <w:tc>
          <w:tcPr>
            <w:tcW w:w="768" w:type="dxa"/>
            <w:vAlign w:val="center"/>
          </w:tcPr>
          <w:p w14:paraId="4F772EA9">
            <w:pPr>
              <w:spacing w:line="300" w:lineRule="auto"/>
              <w:jc w:val="center"/>
              <w:rPr>
                <w:rFonts w:ascii="Times New Roman" w:hAnsi="Times New Roman"/>
                <w:color w:val="000000"/>
                <w:szCs w:val="21"/>
              </w:rPr>
            </w:pPr>
          </w:p>
        </w:tc>
      </w:tr>
      <w:tr w14:paraId="308C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695" w:type="dxa"/>
            <w:vAlign w:val="center"/>
          </w:tcPr>
          <w:p w14:paraId="55762E9E">
            <w:pPr>
              <w:spacing w:line="300" w:lineRule="auto"/>
              <w:jc w:val="center"/>
              <w:rPr>
                <w:rFonts w:ascii="Times New Roman" w:hAnsi="Times New Roman"/>
                <w:color w:val="000000"/>
                <w:szCs w:val="21"/>
              </w:rPr>
            </w:pPr>
            <w:r>
              <w:rPr>
                <w:rFonts w:ascii="Times New Roman" w:hAnsi="Times New Roman"/>
                <w:color w:val="000000"/>
                <w:szCs w:val="21"/>
              </w:rPr>
              <w:t>2</w:t>
            </w:r>
          </w:p>
        </w:tc>
        <w:tc>
          <w:tcPr>
            <w:tcW w:w="2499" w:type="dxa"/>
            <w:vAlign w:val="center"/>
          </w:tcPr>
          <w:p w14:paraId="31E733DF">
            <w:pPr>
              <w:spacing w:line="300" w:lineRule="auto"/>
              <w:jc w:val="center"/>
              <w:rPr>
                <w:rFonts w:ascii="Times New Roman" w:hAnsi="Times New Roman"/>
                <w:color w:val="000000"/>
                <w:szCs w:val="21"/>
              </w:rPr>
            </w:pPr>
            <w:r>
              <w:rPr>
                <w:rFonts w:ascii="Times New Roman" w:hAnsi="Times New Roman"/>
                <w:color w:val="000000"/>
                <w:szCs w:val="21"/>
              </w:rPr>
              <w:t>工期</w:t>
            </w:r>
          </w:p>
        </w:tc>
        <w:tc>
          <w:tcPr>
            <w:tcW w:w="4428" w:type="dxa"/>
            <w:vAlign w:val="center"/>
          </w:tcPr>
          <w:p w14:paraId="0DBDCF00">
            <w:pPr>
              <w:spacing w:line="300" w:lineRule="auto"/>
              <w:rPr>
                <w:rFonts w:ascii="Times New Roman" w:hAnsi="Times New Roman"/>
                <w:color w:val="000000"/>
                <w:szCs w:val="21"/>
              </w:rPr>
            </w:pPr>
            <w:r>
              <w:rPr>
                <w:rFonts w:ascii="Times New Roman" w:hAnsi="Times New Roman"/>
                <w:color w:val="000000"/>
                <w:szCs w:val="21"/>
              </w:rPr>
              <w:t>天数：</w:t>
            </w:r>
            <w:r>
              <w:rPr>
                <w:rFonts w:ascii="Times New Roman" w:hAnsi="Times New Roman"/>
                <w:color w:val="000000"/>
                <w:szCs w:val="21"/>
                <w:u w:val="single"/>
              </w:rPr>
              <w:t xml:space="preserve">     </w:t>
            </w:r>
            <w:r>
              <w:rPr>
                <w:rFonts w:ascii="Times New Roman" w:hAnsi="Times New Roman"/>
                <w:color w:val="000000"/>
                <w:szCs w:val="21"/>
              </w:rPr>
              <w:t>日历天</w:t>
            </w:r>
          </w:p>
        </w:tc>
        <w:tc>
          <w:tcPr>
            <w:tcW w:w="768" w:type="dxa"/>
            <w:vAlign w:val="center"/>
          </w:tcPr>
          <w:p w14:paraId="45BAF66F">
            <w:pPr>
              <w:spacing w:line="300" w:lineRule="auto"/>
              <w:jc w:val="center"/>
              <w:rPr>
                <w:rFonts w:ascii="Times New Roman" w:hAnsi="Times New Roman"/>
                <w:color w:val="000000"/>
                <w:szCs w:val="21"/>
              </w:rPr>
            </w:pPr>
          </w:p>
        </w:tc>
      </w:tr>
      <w:tr w14:paraId="33FC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95" w:type="dxa"/>
            <w:vAlign w:val="center"/>
          </w:tcPr>
          <w:p w14:paraId="2957AF60">
            <w:pPr>
              <w:spacing w:line="300" w:lineRule="auto"/>
              <w:jc w:val="center"/>
              <w:rPr>
                <w:rFonts w:ascii="Times New Roman" w:hAnsi="Times New Roman"/>
                <w:color w:val="000000"/>
                <w:szCs w:val="21"/>
              </w:rPr>
            </w:pPr>
            <w:r>
              <w:rPr>
                <w:rFonts w:ascii="Times New Roman" w:hAnsi="Times New Roman"/>
                <w:color w:val="000000"/>
                <w:szCs w:val="21"/>
              </w:rPr>
              <w:t>3</w:t>
            </w:r>
          </w:p>
        </w:tc>
        <w:tc>
          <w:tcPr>
            <w:tcW w:w="2499" w:type="dxa"/>
            <w:vAlign w:val="center"/>
          </w:tcPr>
          <w:p w14:paraId="23EFC72D">
            <w:pPr>
              <w:spacing w:line="300" w:lineRule="auto"/>
              <w:jc w:val="center"/>
              <w:rPr>
                <w:rFonts w:ascii="Times New Roman" w:hAnsi="Times New Roman"/>
                <w:color w:val="000000"/>
                <w:szCs w:val="21"/>
              </w:rPr>
            </w:pPr>
            <w:r>
              <w:rPr>
                <w:rFonts w:ascii="Times New Roman" w:hAnsi="Times New Roman"/>
                <w:color w:val="000000"/>
                <w:szCs w:val="21"/>
              </w:rPr>
              <w:t>缺陷责任期</w:t>
            </w:r>
          </w:p>
        </w:tc>
        <w:tc>
          <w:tcPr>
            <w:tcW w:w="4428" w:type="dxa"/>
            <w:vAlign w:val="center"/>
          </w:tcPr>
          <w:p w14:paraId="40B8BFE5">
            <w:pPr>
              <w:spacing w:line="300" w:lineRule="auto"/>
              <w:rPr>
                <w:rFonts w:ascii="Times New Roman" w:hAnsi="Times New Roman"/>
                <w:color w:val="000000"/>
                <w:szCs w:val="21"/>
              </w:rPr>
            </w:pPr>
            <w:r>
              <w:rPr>
                <w:rFonts w:hint="eastAsia" w:ascii="Times New Roman" w:hAnsi="Times New Roman"/>
                <w:color w:val="000000"/>
                <w:szCs w:val="21"/>
              </w:rPr>
              <w:t>2年</w:t>
            </w:r>
          </w:p>
        </w:tc>
        <w:tc>
          <w:tcPr>
            <w:tcW w:w="768" w:type="dxa"/>
            <w:vAlign w:val="center"/>
          </w:tcPr>
          <w:p w14:paraId="0AA69707">
            <w:pPr>
              <w:spacing w:line="300" w:lineRule="auto"/>
              <w:jc w:val="center"/>
              <w:rPr>
                <w:rFonts w:ascii="Times New Roman" w:hAnsi="Times New Roman"/>
                <w:color w:val="000000"/>
                <w:szCs w:val="21"/>
              </w:rPr>
            </w:pPr>
          </w:p>
        </w:tc>
      </w:tr>
      <w:tr w14:paraId="655F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695" w:type="dxa"/>
            <w:vAlign w:val="center"/>
          </w:tcPr>
          <w:p w14:paraId="7A6F9C08">
            <w:pPr>
              <w:spacing w:line="300" w:lineRule="auto"/>
              <w:jc w:val="center"/>
              <w:rPr>
                <w:rFonts w:ascii="Times New Roman" w:hAnsi="Times New Roman"/>
                <w:color w:val="000000"/>
                <w:szCs w:val="21"/>
              </w:rPr>
            </w:pPr>
            <w:r>
              <w:rPr>
                <w:rFonts w:ascii="Times New Roman" w:hAnsi="Times New Roman"/>
                <w:color w:val="000000"/>
                <w:szCs w:val="21"/>
              </w:rPr>
              <w:t>4</w:t>
            </w:r>
          </w:p>
        </w:tc>
        <w:tc>
          <w:tcPr>
            <w:tcW w:w="2499" w:type="dxa"/>
            <w:vAlign w:val="center"/>
          </w:tcPr>
          <w:p w14:paraId="26C1DA17">
            <w:pPr>
              <w:spacing w:line="300" w:lineRule="auto"/>
              <w:jc w:val="center"/>
              <w:rPr>
                <w:rFonts w:ascii="Times New Roman" w:hAnsi="Times New Roman"/>
                <w:color w:val="000000"/>
                <w:szCs w:val="21"/>
              </w:rPr>
            </w:pPr>
            <w:r>
              <w:rPr>
                <w:rFonts w:ascii="Times New Roman" w:hAnsi="Times New Roman"/>
                <w:color w:val="000000"/>
                <w:szCs w:val="21"/>
              </w:rPr>
              <w:t>违约责任</w:t>
            </w:r>
          </w:p>
        </w:tc>
        <w:tc>
          <w:tcPr>
            <w:tcW w:w="4428" w:type="dxa"/>
            <w:vAlign w:val="center"/>
          </w:tcPr>
          <w:p w14:paraId="75D86F81">
            <w:pPr>
              <w:spacing w:line="300" w:lineRule="auto"/>
              <w:rPr>
                <w:rFonts w:ascii="Times New Roman" w:hAnsi="Times New Roman"/>
                <w:color w:val="000000"/>
                <w:szCs w:val="21"/>
              </w:rPr>
            </w:pPr>
            <w:r>
              <w:rPr>
                <w:rFonts w:ascii="Times New Roman" w:hAnsi="Times New Roman"/>
                <w:color w:val="000000"/>
                <w:szCs w:val="21"/>
              </w:rPr>
              <w:t>未经采购人同意更换项目经理，违约责任金</w:t>
            </w:r>
            <w:r>
              <w:rPr>
                <w:rFonts w:hint="eastAsia" w:ascii="Times New Roman" w:hAnsi="Times New Roman"/>
                <w:color w:val="000000"/>
                <w:szCs w:val="21"/>
              </w:rPr>
              <w:t>1</w:t>
            </w:r>
            <w:r>
              <w:rPr>
                <w:rFonts w:ascii="Times New Roman" w:hAnsi="Times New Roman"/>
                <w:color w:val="000000"/>
                <w:szCs w:val="21"/>
              </w:rPr>
              <w:t>万元。</w:t>
            </w:r>
          </w:p>
        </w:tc>
        <w:tc>
          <w:tcPr>
            <w:tcW w:w="768" w:type="dxa"/>
            <w:vAlign w:val="center"/>
          </w:tcPr>
          <w:p w14:paraId="0B3AAF30">
            <w:pPr>
              <w:spacing w:line="300" w:lineRule="auto"/>
              <w:jc w:val="center"/>
              <w:rPr>
                <w:rFonts w:ascii="Times New Roman" w:hAnsi="Times New Roman"/>
                <w:color w:val="000000"/>
                <w:szCs w:val="21"/>
              </w:rPr>
            </w:pPr>
          </w:p>
        </w:tc>
      </w:tr>
      <w:tr w14:paraId="0770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1ACD1A94">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498162F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3BEE80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4DD88B98">
            <w:pPr>
              <w:spacing w:line="300" w:lineRule="auto"/>
              <w:jc w:val="center"/>
              <w:rPr>
                <w:rFonts w:ascii="Times New Roman" w:hAnsi="Times New Roman"/>
                <w:color w:val="000000"/>
                <w:szCs w:val="21"/>
              </w:rPr>
            </w:pPr>
          </w:p>
        </w:tc>
      </w:tr>
      <w:tr w14:paraId="355E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95" w:type="dxa"/>
            <w:vAlign w:val="center"/>
          </w:tcPr>
          <w:p w14:paraId="7217E1C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193E6FC2">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B5229B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A17FD57">
            <w:pPr>
              <w:spacing w:line="300" w:lineRule="auto"/>
              <w:jc w:val="center"/>
              <w:rPr>
                <w:rFonts w:ascii="Times New Roman" w:hAnsi="Times New Roman"/>
                <w:color w:val="000000"/>
                <w:szCs w:val="21"/>
              </w:rPr>
            </w:pPr>
          </w:p>
        </w:tc>
      </w:tr>
      <w:tr w14:paraId="5916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162885C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2BA14C8F">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6602C9F0">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1409DAAD">
            <w:pPr>
              <w:spacing w:line="300" w:lineRule="auto"/>
              <w:jc w:val="center"/>
              <w:rPr>
                <w:rFonts w:ascii="Times New Roman" w:hAnsi="Times New Roman"/>
                <w:color w:val="000000"/>
                <w:szCs w:val="21"/>
              </w:rPr>
            </w:pPr>
          </w:p>
        </w:tc>
      </w:tr>
      <w:tr w14:paraId="335B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5BD76897">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71D44E4E">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78CD044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C2A71C2">
            <w:pPr>
              <w:spacing w:line="300" w:lineRule="auto"/>
              <w:jc w:val="center"/>
              <w:rPr>
                <w:rFonts w:ascii="Times New Roman" w:hAnsi="Times New Roman"/>
                <w:color w:val="000000"/>
                <w:szCs w:val="21"/>
              </w:rPr>
            </w:pPr>
          </w:p>
        </w:tc>
      </w:tr>
    </w:tbl>
    <w:p w14:paraId="4660100C">
      <w:pPr>
        <w:spacing w:line="300" w:lineRule="auto"/>
        <w:ind w:left="840" w:leftChars="400" w:firstLine="2200" w:firstLineChars="1100"/>
        <w:rPr>
          <w:rFonts w:ascii="Times New Roman" w:hAnsi="Times New Roman" w:eastAsia="黑体"/>
          <w:color w:val="000000"/>
          <w:sz w:val="20"/>
        </w:rPr>
      </w:pPr>
    </w:p>
    <w:p w14:paraId="6E548841">
      <w:pPr>
        <w:spacing w:line="300" w:lineRule="auto"/>
        <w:jc w:val="center"/>
        <w:rPr>
          <w:rFonts w:ascii="Times New Roman" w:hAnsi="Times New Roman" w:eastAsia="黑体"/>
          <w:color w:val="000000"/>
          <w:sz w:val="20"/>
        </w:rPr>
      </w:pPr>
      <w:r>
        <w:rPr>
          <w:rFonts w:ascii="Times New Roman" w:hAnsi="Times New Roman" w:eastAsia="黑体"/>
          <w:color w:val="000000"/>
          <w:sz w:val="20"/>
        </w:rPr>
        <w:br w:type="page"/>
      </w:r>
    </w:p>
    <w:p w14:paraId="3BFC1508">
      <w:pPr>
        <w:pStyle w:val="3"/>
        <w:spacing w:before="0" w:after="0" w:line="300" w:lineRule="auto"/>
        <w:jc w:val="center"/>
        <w:rPr>
          <w:rFonts w:ascii="Times New Roman" w:hAnsi="Times New Roman"/>
          <w:color w:val="000000"/>
        </w:rPr>
      </w:pPr>
      <w:bookmarkStart w:id="105" w:name="_Toc247085877"/>
      <w:bookmarkStart w:id="106" w:name="_Toc246996359"/>
      <w:bookmarkStart w:id="107" w:name="_Toc296602605"/>
      <w:bookmarkStart w:id="108" w:name="_Toc152045791"/>
      <w:bookmarkStart w:id="109" w:name="_Toc144974860"/>
      <w:bookmarkStart w:id="110" w:name="_Toc246997102"/>
      <w:bookmarkStart w:id="111" w:name="_Toc152042580"/>
      <w:bookmarkStart w:id="112" w:name="_Toc13317"/>
      <w:r>
        <w:rPr>
          <w:rFonts w:ascii="Times New Roman" w:hAnsi="Times New Roman"/>
          <w:color w:val="000000"/>
        </w:rPr>
        <w:t>（二）法定代表人身份证明</w:t>
      </w:r>
      <w:bookmarkEnd w:id="105"/>
      <w:bookmarkEnd w:id="106"/>
      <w:bookmarkEnd w:id="107"/>
      <w:bookmarkEnd w:id="108"/>
      <w:bookmarkEnd w:id="109"/>
      <w:bookmarkEnd w:id="110"/>
      <w:bookmarkEnd w:id="111"/>
      <w:bookmarkEnd w:id="112"/>
    </w:p>
    <w:p w14:paraId="50BFB1A4">
      <w:pPr>
        <w:spacing w:line="300" w:lineRule="auto"/>
        <w:rPr>
          <w:rFonts w:ascii="Times New Roman" w:hAnsi="Times New Roman"/>
          <w:color w:val="000000"/>
          <w:sz w:val="20"/>
        </w:rPr>
      </w:pPr>
    </w:p>
    <w:p w14:paraId="650EC355">
      <w:pPr>
        <w:spacing w:line="300" w:lineRule="auto"/>
        <w:rPr>
          <w:rFonts w:ascii="Times New Roman" w:hAnsi="Times New Roman"/>
          <w:color w:val="000000"/>
          <w:szCs w:val="21"/>
        </w:rPr>
      </w:pPr>
    </w:p>
    <w:p w14:paraId="02687D28">
      <w:pPr>
        <w:spacing w:line="300" w:lineRule="auto"/>
        <w:rPr>
          <w:rFonts w:ascii="Times New Roman" w:hAnsi="Times New Roman"/>
          <w:color w:val="000000"/>
          <w:szCs w:val="21"/>
        </w:rPr>
      </w:pPr>
      <w:r>
        <w:rPr>
          <w:rFonts w:ascii="Times New Roman" w:hAnsi="Times New Roman"/>
          <w:color w:val="000000"/>
          <w:szCs w:val="21"/>
        </w:rPr>
        <w:t>名称：</w:t>
      </w:r>
      <w:r>
        <w:rPr>
          <w:rFonts w:ascii="Times New Roman" w:hAnsi="Times New Roman"/>
          <w:color w:val="000000"/>
          <w:szCs w:val="21"/>
          <w:u w:val="single"/>
        </w:rPr>
        <w:t xml:space="preserve">                            </w:t>
      </w:r>
      <w:r>
        <w:rPr>
          <w:rFonts w:ascii="Times New Roman" w:hAnsi="Times New Roman"/>
          <w:color w:val="000000"/>
          <w:szCs w:val="21"/>
        </w:rPr>
        <w:t xml:space="preserve"> </w:t>
      </w:r>
    </w:p>
    <w:p w14:paraId="7D9622DF">
      <w:pPr>
        <w:spacing w:line="300" w:lineRule="auto"/>
        <w:rPr>
          <w:rFonts w:ascii="Times New Roman" w:hAnsi="Times New Roman"/>
          <w:color w:val="000000"/>
          <w:szCs w:val="21"/>
        </w:rPr>
      </w:pPr>
      <w:r>
        <w:rPr>
          <w:rFonts w:ascii="Times New Roman" w:hAnsi="Times New Roman"/>
          <w:color w:val="000000"/>
          <w:szCs w:val="21"/>
        </w:rPr>
        <w:t>单位性质：</w:t>
      </w:r>
      <w:r>
        <w:rPr>
          <w:rFonts w:ascii="Times New Roman" w:hAnsi="Times New Roman"/>
          <w:color w:val="000000"/>
          <w:szCs w:val="21"/>
          <w:u w:val="single"/>
        </w:rPr>
        <w:t xml:space="preserve">                               </w:t>
      </w:r>
      <w:r>
        <w:rPr>
          <w:rFonts w:ascii="Times New Roman" w:hAnsi="Times New Roman"/>
          <w:color w:val="000000"/>
          <w:szCs w:val="21"/>
        </w:rPr>
        <w:t xml:space="preserve"> </w:t>
      </w:r>
    </w:p>
    <w:p w14:paraId="03C4BFD3">
      <w:pPr>
        <w:spacing w:line="300" w:lineRule="auto"/>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2DFFC0F8">
      <w:pPr>
        <w:spacing w:line="300" w:lineRule="auto"/>
        <w:rPr>
          <w:rFonts w:ascii="Times New Roman" w:hAnsi="Times New Roman"/>
          <w:color w:val="000000"/>
          <w:szCs w:val="21"/>
        </w:rPr>
      </w:pPr>
      <w:r>
        <w:rPr>
          <w:rFonts w:ascii="Times New Roman" w:hAnsi="Times New Roman"/>
          <w:color w:val="000000"/>
          <w:szCs w:val="21"/>
        </w:rPr>
        <w:t>成立时间：</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479AB03A">
      <w:pPr>
        <w:spacing w:line="300" w:lineRule="auto"/>
        <w:rPr>
          <w:rFonts w:ascii="Times New Roman" w:hAnsi="Times New Roman"/>
          <w:color w:val="000000"/>
          <w:szCs w:val="21"/>
        </w:rPr>
      </w:pPr>
      <w:r>
        <w:rPr>
          <w:rFonts w:ascii="Times New Roman" w:hAnsi="Times New Roman"/>
          <w:color w:val="000000"/>
          <w:szCs w:val="21"/>
        </w:rPr>
        <w:t>经营期限：</w:t>
      </w:r>
      <w:r>
        <w:rPr>
          <w:rFonts w:ascii="Times New Roman" w:hAnsi="Times New Roman"/>
          <w:color w:val="000000"/>
          <w:szCs w:val="21"/>
          <w:u w:val="single"/>
        </w:rPr>
        <w:t xml:space="preserve">                               </w:t>
      </w:r>
    </w:p>
    <w:p w14:paraId="14677B83">
      <w:pPr>
        <w:spacing w:line="300" w:lineRule="auto"/>
        <w:rPr>
          <w:rFonts w:ascii="Times New Roman" w:hAnsi="Times New Roman"/>
          <w:color w:val="000000"/>
          <w:szCs w:val="21"/>
        </w:rPr>
      </w:pPr>
      <w:r>
        <w:rPr>
          <w:rFonts w:ascii="Times New Roman" w:hAnsi="Times New Roman"/>
          <w:color w:val="000000"/>
          <w:szCs w:val="21"/>
        </w:rPr>
        <w:t>姓名：</w:t>
      </w:r>
      <w:r>
        <w:rPr>
          <w:rFonts w:ascii="Times New Roman" w:hAnsi="Times New Roman"/>
          <w:color w:val="000000"/>
          <w:szCs w:val="21"/>
          <w:u w:val="single"/>
        </w:rPr>
        <w:t xml:space="preserve">         </w:t>
      </w:r>
      <w:r>
        <w:rPr>
          <w:rFonts w:ascii="Times New Roman" w:hAnsi="Times New Roman"/>
          <w:color w:val="000000"/>
          <w:szCs w:val="21"/>
        </w:rPr>
        <w:t xml:space="preserve"> 性别：</w:t>
      </w:r>
      <w:r>
        <w:rPr>
          <w:rFonts w:ascii="Times New Roman" w:hAnsi="Times New Roman"/>
          <w:color w:val="000000"/>
          <w:szCs w:val="21"/>
          <w:u w:val="single"/>
        </w:rPr>
        <w:t xml:space="preserve">         </w:t>
      </w:r>
      <w:r>
        <w:rPr>
          <w:rFonts w:ascii="Times New Roman" w:hAnsi="Times New Roman"/>
          <w:color w:val="000000"/>
          <w:szCs w:val="21"/>
        </w:rPr>
        <w:t>年龄：</w:t>
      </w:r>
      <w:r>
        <w:rPr>
          <w:rFonts w:ascii="Times New Roman" w:hAnsi="Times New Roman"/>
          <w:color w:val="000000"/>
          <w:szCs w:val="21"/>
          <w:u w:val="single"/>
        </w:rPr>
        <w:t xml:space="preserve">        </w:t>
      </w:r>
      <w:r>
        <w:rPr>
          <w:rFonts w:ascii="Times New Roman" w:hAnsi="Times New Roman"/>
          <w:color w:val="000000"/>
          <w:szCs w:val="21"/>
        </w:rPr>
        <w:t>职务：</w:t>
      </w:r>
      <w:r>
        <w:rPr>
          <w:rFonts w:ascii="Times New Roman" w:hAnsi="Times New Roman"/>
          <w:color w:val="000000"/>
          <w:szCs w:val="21"/>
          <w:u w:val="single"/>
        </w:rPr>
        <w:t xml:space="preserve">        </w:t>
      </w:r>
    </w:p>
    <w:p w14:paraId="60FA0D48">
      <w:pPr>
        <w:spacing w:line="300" w:lineRule="auto"/>
        <w:rPr>
          <w:rFonts w:ascii="Times New Roman" w:hAnsi="Times New Roman"/>
          <w:color w:val="000000"/>
          <w:szCs w:val="21"/>
        </w:rPr>
      </w:pPr>
      <w:r>
        <w:rPr>
          <w:rFonts w:ascii="Times New Roman" w:hAnsi="Times New Roman"/>
          <w:color w:val="000000"/>
          <w:szCs w:val="21"/>
        </w:rPr>
        <w:t>系</w:t>
      </w:r>
      <w:r>
        <w:rPr>
          <w:rFonts w:ascii="Times New Roman" w:hAnsi="Times New Roman"/>
          <w:color w:val="000000"/>
          <w:szCs w:val="21"/>
          <w:u w:val="single"/>
        </w:rPr>
        <w:t xml:space="preserve">                             </w:t>
      </w:r>
      <w:r>
        <w:rPr>
          <w:rFonts w:ascii="Times New Roman" w:hAnsi="Times New Roman"/>
          <w:color w:val="000000"/>
          <w:szCs w:val="21"/>
        </w:rPr>
        <w:t xml:space="preserve"> （名称）的法定代表人。</w:t>
      </w:r>
    </w:p>
    <w:p w14:paraId="73DC61F0">
      <w:pPr>
        <w:spacing w:line="300" w:lineRule="auto"/>
        <w:ind w:firstLine="420" w:firstLineChars="200"/>
        <w:rPr>
          <w:rFonts w:ascii="Times New Roman" w:hAnsi="Times New Roman"/>
          <w:color w:val="000000"/>
          <w:szCs w:val="21"/>
        </w:rPr>
      </w:pPr>
      <w:r>
        <w:rPr>
          <w:rFonts w:ascii="Times New Roman" w:hAnsi="Times New Roman"/>
          <w:color w:val="000000"/>
          <w:szCs w:val="21"/>
        </w:rPr>
        <w:t>特此证明。</w:t>
      </w:r>
    </w:p>
    <w:p w14:paraId="68A62BC5">
      <w:pPr>
        <w:spacing w:line="300" w:lineRule="auto"/>
        <w:rPr>
          <w:rFonts w:ascii="Times New Roman" w:hAnsi="Times New Roman"/>
          <w:color w:val="000000"/>
          <w:szCs w:val="21"/>
        </w:rPr>
      </w:pPr>
    </w:p>
    <w:p w14:paraId="49EA20DF">
      <w:pPr>
        <w:spacing w:line="300" w:lineRule="auto"/>
        <w:rPr>
          <w:rFonts w:ascii="Times New Roman" w:hAnsi="Times New Roman"/>
          <w:color w:val="000000"/>
          <w:szCs w:val="21"/>
        </w:rPr>
      </w:pPr>
    </w:p>
    <w:p w14:paraId="35FBF1F7">
      <w:pPr>
        <w:spacing w:line="300" w:lineRule="auto"/>
        <w:jc w:val="right"/>
        <w:rPr>
          <w:rFonts w:ascii="Times New Roman" w:hAnsi="Times New Roman"/>
          <w:color w:val="000000"/>
          <w:szCs w:val="21"/>
        </w:rPr>
      </w:pPr>
      <w:r>
        <w:rPr>
          <w:rFonts w:ascii="Times New Roman" w:hAnsi="Times New Roman"/>
          <w:color w:val="000000"/>
          <w:szCs w:val="21"/>
        </w:rPr>
        <w:t xml:space="preserve">                          投标人：</w:t>
      </w:r>
      <w:r>
        <w:rPr>
          <w:rFonts w:ascii="Times New Roman" w:hAnsi="Times New Roman"/>
          <w:color w:val="000000"/>
          <w:szCs w:val="21"/>
          <w:u w:val="single"/>
        </w:rPr>
        <w:t xml:space="preserve">                      </w:t>
      </w:r>
      <w:r>
        <w:rPr>
          <w:rFonts w:ascii="Times New Roman" w:hAnsi="Times New Roman"/>
          <w:color w:val="000000"/>
          <w:szCs w:val="21"/>
        </w:rPr>
        <w:t>（盖单位章）</w:t>
      </w:r>
    </w:p>
    <w:p w14:paraId="1D7E5A3D">
      <w:pPr>
        <w:spacing w:line="300" w:lineRule="auto"/>
        <w:jc w:val="center"/>
        <w:rPr>
          <w:rFonts w:ascii="Times New Roman" w:hAnsi="Times New Roman"/>
          <w:color w:val="000000"/>
          <w:szCs w:val="21"/>
        </w:rPr>
      </w:pPr>
      <w:r>
        <w:rPr>
          <w:rFonts w:ascii="Times New Roman" w:hAnsi="Times New Roman"/>
          <w:color w:val="000000"/>
          <w:szCs w:val="21"/>
        </w:rPr>
        <w:t xml:space="preserve">                                 </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135890E8">
      <w:pPr>
        <w:spacing w:line="300" w:lineRule="auto"/>
        <w:jc w:val="center"/>
        <w:rPr>
          <w:rFonts w:ascii="Times New Roman" w:hAnsi="Times New Roman" w:eastAsia="黑体"/>
          <w:color w:val="000000"/>
          <w:sz w:val="20"/>
        </w:rPr>
      </w:pPr>
      <w:r>
        <w:rPr>
          <w:rFonts w:ascii="Times New Roman" w:hAnsi="Times New Roman" w:eastAsia="黑体"/>
          <w:color w:val="000000"/>
          <w:sz w:val="20"/>
        </w:rPr>
        <w:br w:type="page"/>
      </w:r>
    </w:p>
    <w:p w14:paraId="47BBD758">
      <w:pPr>
        <w:pStyle w:val="3"/>
        <w:spacing w:before="0" w:after="0" w:line="300" w:lineRule="auto"/>
        <w:jc w:val="center"/>
        <w:rPr>
          <w:rFonts w:ascii="Times New Roman" w:hAnsi="Times New Roman"/>
          <w:color w:val="000000"/>
        </w:rPr>
      </w:pPr>
      <w:bookmarkStart w:id="113" w:name="_Toc144974861"/>
      <w:bookmarkStart w:id="114" w:name="_Toc5335"/>
      <w:bookmarkStart w:id="115" w:name="_Toc152045792"/>
      <w:bookmarkStart w:id="116" w:name="_Toc152042581"/>
      <w:bookmarkStart w:id="117" w:name="_Toc246997103"/>
      <w:bookmarkStart w:id="118" w:name="_Toc296602606"/>
      <w:bookmarkStart w:id="119" w:name="_Toc247085878"/>
      <w:bookmarkStart w:id="120" w:name="_Toc246996360"/>
      <w:r>
        <w:rPr>
          <w:rFonts w:ascii="Times New Roman" w:hAnsi="Times New Roman"/>
          <w:color w:val="000000"/>
        </w:rPr>
        <w:t>授权委托书</w:t>
      </w:r>
      <w:bookmarkEnd w:id="113"/>
      <w:bookmarkEnd w:id="114"/>
      <w:bookmarkEnd w:id="115"/>
      <w:bookmarkEnd w:id="116"/>
      <w:bookmarkEnd w:id="117"/>
      <w:bookmarkEnd w:id="118"/>
      <w:bookmarkEnd w:id="119"/>
      <w:bookmarkEnd w:id="120"/>
    </w:p>
    <w:p w14:paraId="0C411441">
      <w:pPr>
        <w:spacing w:line="300" w:lineRule="auto"/>
        <w:rPr>
          <w:rFonts w:ascii="Times New Roman" w:hAnsi="Times New Roman" w:eastAsia="黑体"/>
          <w:color w:val="000000"/>
          <w:szCs w:val="21"/>
        </w:rPr>
      </w:pPr>
    </w:p>
    <w:p w14:paraId="37B2A774">
      <w:pPr>
        <w:topLinePunct/>
        <w:spacing w:line="300" w:lineRule="auto"/>
        <w:ind w:firstLine="420" w:firstLineChars="200"/>
        <w:rPr>
          <w:rFonts w:ascii="Times New Roman" w:hAnsi="Times New Roman"/>
          <w:color w:val="000000"/>
          <w:szCs w:val="21"/>
        </w:rPr>
      </w:pPr>
      <w:r>
        <w:rPr>
          <w:rFonts w:ascii="Times New Roman" w:hAnsi="Times New Roman"/>
          <w:color w:val="000000"/>
          <w:szCs w:val="21"/>
        </w:rPr>
        <w:t>本人</w:t>
      </w:r>
      <w:r>
        <w:rPr>
          <w:rFonts w:ascii="Times New Roman" w:hAnsi="Times New Roman"/>
          <w:color w:val="000000"/>
          <w:szCs w:val="21"/>
          <w:u w:val="single"/>
        </w:rPr>
        <w:t xml:space="preserve">       </w:t>
      </w:r>
      <w:r>
        <w:rPr>
          <w:rFonts w:ascii="Times New Roman" w:hAnsi="Times New Roman"/>
          <w:color w:val="000000"/>
          <w:szCs w:val="21"/>
        </w:rPr>
        <w:t>（姓名）系</w:t>
      </w:r>
      <w:r>
        <w:rPr>
          <w:rFonts w:ascii="Times New Roman" w:hAnsi="Times New Roman"/>
          <w:color w:val="000000"/>
          <w:szCs w:val="21"/>
          <w:u w:val="single"/>
        </w:rPr>
        <w:t xml:space="preserve">        </w:t>
      </w:r>
      <w:r>
        <w:rPr>
          <w:rFonts w:ascii="Times New Roman" w:hAnsi="Times New Roman"/>
          <w:color w:val="000000"/>
          <w:szCs w:val="21"/>
        </w:rPr>
        <w:t>（名称）的法定代表人，现委托</w:t>
      </w:r>
      <w:r>
        <w:rPr>
          <w:rFonts w:ascii="Times New Roman" w:hAnsi="Times New Roman"/>
          <w:color w:val="000000"/>
          <w:szCs w:val="21"/>
          <w:u w:val="single"/>
        </w:rPr>
        <w:t xml:space="preserve">        </w:t>
      </w:r>
      <w:r>
        <w:rPr>
          <w:rFonts w:ascii="Times New Roman" w:hAnsi="Times New Roman"/>
          <w:color w:val="000000"/>
          <w:szCs w:val="21"/>
        </w:rPr>
        <w:t>（姓名）为我方代理人。代理人根据授权，以我方名义签署、澄清、说明、补正、递交、撤回、修改</w:t>
      </w:r>
      <w:r>
        <w:rPr>
          <w:rFonts w:ascii="Times New Roman" w:hAnsi="Times New Roman"/>
          <w:color w:val="000000"/>
          <w:szCs w:val="21"/>
          <w:u w:val="single"/>
        </w:rPr>
        <w:t xml:space="preserve">           </w:t>
      </w:r>
      <w:r>
        <w:rPr>
          <w:rFonts w:ascii="Times New Roman" w:hAnsi="Times New Roman"/>
          <w:color w:val="000000"/>
          <w:szCs w:val="21"/>
        </w:rPr>
        <w:t>（项目名称）投标文件、签订合同和处理有关事宜，其法律后果由我方承担。</w:t>
      </w:r>
    </w:p>
    <w:p w14:paraId="5BCEDC90">
      <w:pPr>
        <w:spacing w:line="300" w:lineRule="auto"/>
        <w:rPr>
          <w:rFonts w:ascii="Times New Roman" w:hAnsi="Times New Roman"/>
          <w:color w:val="000000"/>
          <w:szCs w:val="21"/>
        </w:rPr>
      </w:pPr>
      <w:r>
        <w:rPr>
          <w:rFonts w:ascii="Times New Roman" w:hAnsi="Times New Roman"/>
          <w:color w:val="000000"/>
          <w:szCs w:val="21"/>
        </w:rPr>
        <w:t xml:space="preserve">    委托期限：</w:t>
      </w:r>
      <w:r>
        <w:rPr>
          <w:rFonts w:ascii="Times New Roman" w:hAnsi="Times New Roman"/>
          <w:color w:val="000000"/>
          <w:szCs w:val="21"/>
          <w:u w:val="single"/>
        </w:rPr>
        <w:t xml:space="preserve">             </w:t>
      </w:r>
      <w:r>
        <w:rPr>
          <w:rFonts w:ascii="Times New Roman" w:hAnsi="Times New Roman"/>
          <w:color w:val="000000"/>
          <w:szCs w:val="21"/>
        </w:rPr>
        <w:t>。</w:t>
      </w:r>
    </w:p>
    <w:p w14:paraId="29F06ED5">
      <w:pPr>
        <w:spacing w:line="300" w:lineRule="auto"/>
        <w:ind w:firstLine="420" w:firstLineChars="200"/>
        <w:rPr>
          <w:rFonts w:ascii="Times New Roman" w:hAnsi="Times New Roman"/>
          <w:color w:val="000000"/>
          <w:szCs w:val="21"/>
        </w:rPr>
      </w:pPr>
      <w:r>
        <w:rPr>
          <w:rFonts w:ascii="Times New Roman" w:hAnsi="Times New Roman"/>
          <w:color w:val="000000"/>
          <w:szCs w:val="21"/>
        </w:rPr>
        <w:t>代理人无转委托权。</w:t>
      </w:r>
    </w:p>
    <w:p w14:paraId="07D8B826">
      <w:pPr>
        <w:spacing w:line="300" w:lineRule="auto"/>
        <w:ind w:firstLine="420" w:firstLineChars="200"/>
        <w:rPr>
          <w:rFonts w:ascii="Times New Roman" w:hAnsi="Times New Roman"/>
          <w:color w:val="000000"/>
          <w:szCs w:val="21"/>
        </w:rPr>
      </w:pPr>
      <w:r>
        <w:rPr>
          <w:rFonts w:ascii="Times New Roman" w:hAnsi="Times New Roman"/>
          <w:color w:val="000000"/>
          <w:szCs w:val="21"/>
        </w:rPr>
        <w:t>附：法定代表人身份证明、授权代表身份证复印件；</w:t>
      </w:r>
    </w:p>
    <w:p w14:paraId="201D4A52">
      <w:pPr>
        <w:spacing w:line="300" w:lineRule="auto"/>
        <w:rPr>
          <w:rFonts w:ascii="Times New Roman" w:hAnsi="Times New Roman"/>
          <w:color w:val="000000"/>
          <w:szCs w:val="21"/>
        </w:rPr>
      </w:pPr>
    </w:p>
    <w:p w14:paraId="1EB8EE54">
      <w:pPr>
        <w:spacing w:line="300" w:lineRule="auto"/>
        <w:rPr>
          <w:rFonts w:ascii="Times New Roman" w:hAnsi="Times New Roman"/>
          <w:color w:val="000000"/>
          <w:szCs w:val="21"/>
        </w:rPr>
      </w:pPr>
    </w:p>
    <w:p w14:paraId="379BCB62">
      <w:pPr>
        <w:spacing w:line="300" w:lineRule="auto"/>
        <w:rPr>
          <w:rFonts w:ascii="Times New Roman" w:hAnsi="Times New Roman"/>
          <w:color w:val="000000"/>
          <w:szCs w:val="21"/>
        </w:rPr>
      </w:pPr>
      <w:r>
        <w:rPr>
          <w:rFonts w:ascii="Times New Roman" w:hAnsi="Times New Roman"/>
          <w:color w:val="000000"/>
          <w:szCs w:val="21"/>
        </w:rPr>
        <w:t>投 标 人：</w:t>
      </w:r>
      <w:r>
        <w:rPr>
          <w:rFonts w:ascii="Times New Roman" w:hAnsi="Times New Roman"/>
          <w:color w:val="000000"/>
          <w:szCs w:val="21"/>
          <w:u w:val="single"/>
        </w:rPr>
        <w:t xml:space="preserve">                               </w:t>
      </w:r>
      <w:r>
        <w:rPr>
          <w:rFonts w:ascii="Times New Roman" w:hAnsi="Times New Roman"/>
          <w:color w:val="000000"/>
          <w:szCs w:val="21"/>
        </w:rPr>
        <w:t>（盖单位章）</w:t>
      </w:r>
    </w:p>
    <w:p w14:paraId="6ED63149">
      <w:pPr>
        <w:spacing w:line="300" w:lineRule="auto"/>
        <w:rPr>
          <w:rFonts w:ascii="Times New Roman" w:hAnsi="Times New Roman"/>
          <w:color w:val="000000"/>
          <w:szCs w:val="21"/>
        </w:rPr>
      </w:pPr>
    </w:p>
    <w:p w14:paraId="2A2DB0B0">
      <w:pPr>
        <w:spacing w:line="300" w:lineRule="auto"/>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35E00A75">
      <w:pPr>
        <w:spacing w:line="300" w:lineRule="auto"/>
        <w:rPr>
          <w:rFonts w:ascii="Times New Roman" w:hAnsi="Times New Roman"/>
          <w:color w:val="000000"/>
          <w:szCs w:val="21"/>
        </w:rPr>
      </w:pPr>
    </w:p>
    <w:p w14:paraId="6EFDFF05">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212D5ED3">
      <w:pPr>
        <w:spacing w:line="300" w:lineRule="auto"/>
        <w:rPr>
          <w:rFonts w:ascii="Times New Roman" w:hAnsi="Times New Roman"/>
          <w:color w:val="000000"/>
          <w:szCs w:val="21"/>
        </w:rPr>
      </w:pPr>
    </w:p>
    <w:p w14:paraId="649B8FCE">
      <w:pPr>
        <w:spacing w:line="300" w:lineRule="auto"/>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 xml:space="preserve">（签字） </w:t>
      </w:r>
    </w:p>
    <w:p w14:paraId="3EE8B2CB">
      <w:pPr>
        <w:spacing w:line="300" w:lineRule="auto"/>
        <w:rPr>
          <w:rFonts w:ascii="Times New Roman" w:hAnsi="Times New Roman"/>
          <w:color w:val="000000"/>
          <w:szCs w:val="21"/>
        </w:rPr>
      </w:pPr>
    </w:p>
    <w:p w14:paraId="001FF13D">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64765C51">
      <w:pPr>
        <w:spacing w:line="300" w:lineRule="auto"/>
        <w:rPr>
          <w:rFonts w:ascii="Times New Roman" w:hAnsi="Times New Roman"/>
          <w:color w:val="000000"/>
          <w:szCs w:val="21"/>
        </w:rPr>
      </w:pPr>
    </w:p>
    <w:p w14:paraId="2BC0813F">
      <w:pPr>
        <w:spacing w:line="300" w:lineRule="auto"/>
        <w:rPr>
          <w:rFonts w:ascii="Times New Roman" w:hAnsi="Times New Roman"/>
          <w:color w:val="000000"/>
          <w:szCs w:val="21"/>
        </w:rPr>
      </w:pPr>
    </w:p>
    <w:p w14:paraId="132B0C61">
      <w:pPr>
        <w:spacing w:line="300" w:lineRule="auto"/>
        <w:ind w:firstLine="4830" w:firstLineChars="2300"/>
        <w:rPr>
          <w:rFonts w:ascii="Times New Roman" w:hAnsi="Times New Roman" w:eastAsia="黑体"/>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7586AB71">
      <w:pPr>
        <w:spacing w:line="300" w:lineRule="auto"/>
        <w:ind w:left="482" w:hanging="480" w:hangingChars="200"/>
        <w:rPr>
          <w:rFonts w:ascii="Times New Roman" w:hAnsi="Times New Roman" w:eastAsia="楷体_GB2312"/>
          <w:b/>
          <w:color w:val="000000"/>
          <w:kern w:val="0"/>
          <w:sz w:val="24"/>
          <w:lang w:val="zh-CN"/>
        </w:rPr>
      </w:pPr>
    </w:p>
    <w:p w14:paraId="4A6C15D2">
      <w:pPr>
        <w:spacing w:line="300" w:lineRule="auto"/>
        <w:ind w:left="482" w:hanging="480" w:hangingChars="200"/>
        <w:rPr>
          <w:rFonts w:ascii="Times New Roman" w:hAnsi="Times New Roman" w:eastAsia="楷体_GB2312"/>
          <w:b/>
          <w:color w:val="000000"/>
          <w:kern w:val="0"/>
          <w:sz w:val="24"/>
          <w:lang w:val="zh-CN"/>
        </w:rPr>
      </w:pPr>
    </w:p>
    <w:p w14:paraId="2F8DF839">
      <w:pPr>
        <w:spacing w:line="300" w:lineRule="auto"/>
        <w:ind w:left="482" w:hanging="480" w:hangingChars="200"/>
        <w:rPr>
          <w:rFonts w:ascii="Times New Roman" w:hAnsi="Times New Roman" w:eastAsia="楷体_GB2312"/>
          <w:b/>
          <w:color w:val="000000"/>
          <w:kern w:val="0"/>
          <w:sz w:val="24"/>
          <w:lang w:val="zh-CN"/>
        </w:rPr>
      </w:pPr>
      <w:r>
        <w:rPr>
          <w:rFonts w:ascii="Times New Roman" w:hAnsi="Times New Roman" w:eastAsia="楷体_GB2312"/>
          <w:b/>
          <w:color w:val="000000"/>
          <w:kern w:val="0"/>
          <w:sz w:val="24"/>
          <w:lang w:val="zh-CN"/>
        </w:rPr>
        <w:t>注：本“授权委托书”除装订在投标文件中，另外需与“投标函”共同密封在一单独的信封内，与投标文件一同递交。</w:t>
      </w:r>
    </w:p>
    <w:p w14:paraId="747881DD">
      <w:pPr>
        <w:pStyle w:val="3"/>
        <w:spacing w:before="0" w:after="0" w:line="300" w:lineRule="auto"/>
        <w:jc w:val="center"/>
        <w:rPr>
          <w:rFonts w:ascii="Times New Roman" w:hAnsi="Times New Roman"/>
          <w:color w:val="000000"/>
        </w:rPr>
      </w:pPr>
      <w:r>
        <w:rPr>
          <w:rFonts w:ascii="Times New Roman" w:hAnsi="Times New Roman"/>
          <w:color w:val="000000"/>
          <w:sz w:val="20"/>
          <w:szCs w:val="20"/>
        </w:rPr>
        <w:br w:type="page"/>
      </w:r>
      <w:bookmarkStart w:id="121" w:name="_Toc6576"/>
      <w:r>
        <w:rPr>
          <w:rFonts w:ascii="Times New Roman" w:hAnsi="Times New Roman"/>
          <w:color w:val="000000"/>
        </w:rPr>
        <w:t>（三）开标一览表</w:t>
      </w:r>
      <w:bookmarkEnd w:id="121"/>
    </w:p>
    <w:p w14:paraId="4E1AEF59">
      <w:pPr>
        <w:spacing w:line="300" w:lineRule="auto"/>
        <w:ind w:firstLine="210" w:firstLineChars="100"/>
        <w:rPr>
          <w:rFonts w:ascii="Times New Roman" w:hAnsi="Times New Roman"/>
          <w:color w:val="000000"/>
        </w:rPr>
      </w:pPr>
      <w:r>
        <w:rPr>
          <w:rFonts w:ascii="Times New Roman" w:hAnsi="Times New Roman"/>
          <w:color w:val="000000"/>
        </w:rPr>
        <w:t>招标编号：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3"/>
        <w:gridCol w:w="512"/>
        <w:gridCol w:w="1270"/>
        <w:gridCol w:w="873"/>
        <w:gridCol w:w="760"/>
        <w:gridCol w:w="1307"/>
        <w:gridCol w:w="53"/>
        <w:gridCol w:w="2808"/>
      </w:tblGrid>
      <w:tr w14:paraId="68A1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6" w:hRule="atLeast"/>
          <w:jc w:val="center"/>
        </w:trPr>
        <w:tc>
          <w:tcPr>
            <w:tcW w:w="4468" w:type="dxa"/>
            <w:gridSpan w:val="5"/>
            <w:vAlign w:val="center"/>
          </w:tcPr>
          <w:p w14:paraId="6F21B711">
            <w:pPr>
              <w:spacing w:line="300" w:lineRule="auto"/>
              <w:rPr>
                <w:rFonts w:ascii="Times New Roman" w:hAnsi="Times New Roman"/>
                <w:color w:val="000000"/>
              </w:rPr>
            </w:pPr>
            <w:r>
              <w:rPr>
                <w:rFonts w:ascii="Times New Roman" w:hAnsi="Times New Roman"/>
                <w:color w:val="000000"/>
              </w:rPr>
              <w:t>（盖章）：</w:t>
            </w:r>
          </w:p>
          <w:p w14:paraId="4729E60E">
            <w:pPr>
              <w:spacing w:line="300" w:lineRule="auto"/>
              <w:rPr>
                <w:rFonts w:ascii="Times New Roman" w:hAnsi="Times New Roman"/>
                <w:color w:val="000000"/>
              </w:rPr>
            </w:pPr>
            <w:r>
              <w:rPr>
                <w:rFonts w:ascii="Times New Roman" w:hAnsi="Times New Roman"/>
                <w:color w:val="000000"/>
              </w:rPr>
              <w:t>法定代表人：（签字或盖章）</w:t>
            </w:r>
          </w:p>
        </w:tc>
        <w:tc>
          <w:tcPr>
            <w:tcW w:w="1307" w:type="dxa"/>
            <w:vAlign w:val="center"/>
          </w:tcPr>
          <w:p w14:paraId="6E8E957D">
            <w:pPr>
              <w:spacing w:line="300" w:lineRule="auto"/>
              <w:rPr>
                <w:rFonts w:ascii="Times New Roman" w:hAnsi="Times New Roman"/>
                <w:color w:val="000000"/>
              </w:rPr>
            </w:pPr>
            <w:r>
              <w:rPr>
                <w:rFonts w:ascii="Times New Roman" w:hAnsi="Times New Roman"/>
                <w:color w:val="000000"/>
              </w:rPr>
              <w:t>资质等级</w:t>
            </w:r>
          </w:p>
        </w:tc>
        <w:tc>
          <w:tcPr>
            <w:tcW w:w="2861" w:type="dxa"/>
            <w:gridSpan w:val="2"/>
            <w:vAlign w:val="center"/>
          </w:tcPr>
          <w:p w14:paraId="12EBDABB">
            <w:pPr>
              <w:spacing w:line="300" w:lineRule="auto"/>
              <w:rPr>
                <w:rFonts w:ascii="Times New Roman" w:hAnsi="Times New Roman"/>
                <w:color w:val="000000"/>
              </w:rPr>
            </w:pPr>
          </w:p>
        </w:tc>
      </w:tr>
      <w:tr w14:paraId="243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3" w:hRule="atLeast"/>
          <w:jc w:val="center"/>
        </w:trPr>
        <w:tc>
          <w:tcPr>
            <w:tcW w:w="8636" w:type="dxa"/>
            <w:gridSpan w:val="8"/>
            <w:vAlign w:val="center"/>
          </w:tcPr>
          <w:p w14:paraId="22A5918A">
            <w:pPr>
              <w:spacing w:line="300" w:lineRule="auto"/>
              <w:rPr>
                <w:rFonts w:ascii="Times New Roman" w:hAnsi="Times New Roman"/>
                <w:color w:val="000000"/>
              </w:rPr>
            </w:pPr>
            <w:r>
              <w:rPr>
                <w:rFonts w:ascii="Times New Roman" w:hAnsi="Times New Roman"/>
                <w:color w:val="000000"/>
              </w:rPr>
              <w:t>工程名称：</w:t>
            </w:r>
          </w:p>
        </w:tc>
      </w:tr>
      <w:tr w14:paraId="60F7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6" w:hRule="atLeast"/>
          <w:jc w:val="center"/>
        </w:trPr>
        <w:tc>
          <w:tcPr>
            <w:tcW w:w="8636" w:type="dxa"/>
            <w:gridSpan w:val="8"/>
            <w:vAlign w:val="center"/>
          </w:tcPr>
          <w:p w14:paraId="04A95AC0">
            <w:pPr>
              <w:spacing w:line="300" w:lineRule="auto"/>
              <w:rPr>
                <w:rFonts w:ascii="Times New Roman" w:hAnsi="Times New Roman"/>
                <w:color w:val="000000"/>
              </w:rPr>
            </w:pPr>
            <w:r>
              <w:rPr>
                <w:rFonts w:ascii="Times New Roman" w:hAnsi="Times New Roman"/>
                <w:color w:val="000000"/>
              </w:rPr>
              <w:t>总报价：大写：          元；（小写：        ）</w:t>
            </w:r>
          </w:p>
        </w:tc>
      </w:tr>
      <w:tr w14:paraId="4512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1053" w:type="dxa"/>
            <w:vAlign w:val="center"/>
          </w:tcPr>
          <w:p w14:paraId="4DE0DF64">
            <w:pPr>
              <w:spacing w:line="300" w:lineRule="auto"/>
              <w:jc w:val="center"/>
              <w:rPr>
                <w:rFonts w:ascii="Times New Roman" w:hAnsi="Times New Roman"/>
                <w:color w:val="000000"/>
              </w:rPr>
            </w:pPr>
            <w:r>
              <w:rPr>
                <w:rFonts w:ascii="Times New Roman" w:hAnsi="Times New Roman"/>
                <w:color w:val="000000"/>
              </w:rPr>
              <w:t>工期要求</w:t>
            </w:r>
          </w:p>
        </w:tc>
        <w:tc>
          <w:tcPr>
            <w:tcW w:w="7583" w:type="dxa"/>
            <w:gridSpan w:val="7"/>
            <w:vAlign w:val="center"/>
          </w:tcPr>
          <w:p w14:paraId="2E4F8B66">
            <w:pPr>
              <w:spacing w:line="300" w:lineRule="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 xml:space="preserve"> </w:t>
            </w:r>
            <w:r>
              <w:rPr>
                <w:rFonts w:hint="eastAsia" w:ascii="Times New Roman" w:hAnsi="Times New Roman"/>
                <w:color w:val="000000"/>
              </w:rPr>
              <w:t>日历</w:t>
            </w:r>
            <w:r>
              <w:rPr>
                <w:rFonts w:ascii="Times New Roman" w:hAnsi="Times New Roman"/>
                <w:color w:val="000000"/>
              </w:rPr>
              <w:t>天</w:t>
            </w:r>
          </w:p>
        </w:tc>
      </w:tr>
      <w:tr w14:paraId="3730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06706F41">
            <w:pPr>
              <w:spacing w:line="300" w:lineRule="auto"/>
              <w:rPr>
                <w:rFonts w:ascii="Times New Roman" w:hAnsi="Times New Roman"/>
                <w:color w:val="000000"/>
              </w:rPr>
            </w:pPr>
            <w:r>
              <w:rPr>
                <w:rFonts w:ascii="Times New Roman" w:hAnsi="Times New Roman"/>
                <w:color w:val="000000"/>
              </w:rPr>
              <w:t>岗位名称</w:t>
            </w:r>
          </w:p>
        </w:tc>
        <w:tc>
          <w:tcPr>
            <w:tcW w:w="1270" w:type="dxa"/>
            <w:vAlign w:val="center"/>
          </w:tcPr>
          <w:p w14:paraId="597EE7D5">
            <w:pPr>
              <w:spacing w:line="300" w:lineRule="auto"/>
              <w:rPr>
                <w:rFonts w:ascii="Times New Roman" w:hAnsi="Times New Roman"/>
                <w:color w:val="000000"/>
              </w:rPr>
            </w:pPr>
            <w:r>
              <w:rPr>
                <w:rFonts w:ascii="Times New Roman" w:hAnsi="Times New Roman"/>
                <w:color w:val="000000"/>
              </w:rPr>
              <w:t>姓名</w:t>
            </w:r>
          </w:p>
        </w:tc>
        <w:tc>
          <w:tcPr>
            <w:tcW w:w="873" w:type="dxa"/>
            <w:vAlign w:val="center"/>
          </w:tcPr>
          <w:p w14:paraId="472F1C13">
            <w:pPr>
              <w:spacing w:line="300" w:lineRule="auto"/>
              <w:rPr>
                <w:rFonts w:ascii="Times New Roman" w:hAnsi="Times New Roman"/>
                <w:color w:val="000000"/>
              </w:rPr>
            </w:pPr>
            <w:r>
              <w:rPr>
                <w:rFonts w:ascii="Times New Roman" w:hAnsi="Times New Roman"/>
                <w:color w:val="000000"/>
              </w:rPr>
              <w:t>性别</w:t>
            </w:r>
          </w:p>
        </w:tc>
        <w:tc>
          <w:tcPr>
            <w:tcW w:w="2120" w:type="dxa"/>
            <w:gridSpan w:val="3"/>
            <w:vAlign w:val="center"/>
          </w:tcPr>
          <w:p w14:paraId="523D05D5">
            <w:pPr>
              <w:spacing w:line="300" w:lineRule="auto"/>
              <w:rPr>
                <w:rFonts w:ascii="Times New Roman" w:hAnsi="Times New Roman"/>
                <w:color w:val="000000"/>
              </w:rPr>
            </w:pPr>
            <w:r>
              <w:rPr>
                <w:rFonts w:ascii="Times New Roman" w:hAnsi="Times New Roman"/>
                <w:color w:val="000000"/>
              </w:rPr>
              <w:t>执(职)业资格</w:t>
            </w:r>
          </w:p>
        </w:tc>
        <w:tc>
          <w:tcPr>
            <w:tcW w:w="2808" w:type="dxa"/>
            <w:tcBorders>
              <w:bottom w:val="single" w:color="auto" w:sz="4" w:space="0"/>
              <w:right w:val="single" w:color="auto" w:sz="4" w:space="0"/>
            </w:tcBorders>
            <w:vAlign w:val="center"/>
          </w:tcPr>
          <w:p w14:paraId="6B760678">
            <w:pPr>
              <w:spacing w:line="300" w:lineRule="auto"/>
              <w:rPr>
                <w:rFonts w:ascii="Times New Roman" w:hAnsi="Times New Roman"/>
                <w:color w:val="000000"/>
              </w:rPr>
            </w:pPr>
            <w:r>
              <w:rPr>
                <w:rFonts w:ascii="Times New Roman" w:hAnsi="Times New Roman"/>
                <w:color w:val="000000"/>
              </w:rPr>
              <w:t>注册证书编号（须是注册证书）</w:t>
            </w:r>
          </w:p>
        </w:tc>
      </w:tr>
      <w:tr w14:paraId="4981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61C390DB">
            <w:pPr>
              <w:spacing w:line="300" w:lineRule="auto"/>
              <w:rPr>
                <w:rFonts w:ascii="Times New Roman" w:hAnsi="Times New Roman"/>
                <w:color w:val="000000"/>
              </w:rPr>
            </w:pPr>
            <w:r>
              <w:rPr>
                <w:rFonts w:ascii="Times New Roman" w:hAnsi="Times New Roman"/>
                <w:color w:val="000000"/>
              </w:rPr>
              <w:t>项目经理</w:t>
            </w:r>
          </w:p>
        </w:tc>
        <w:tc>
          <w:tcPr>
            <w:tcW w:w="1270" w:type="dxa"/>
            <w:vAlign w:val="center"/>
          </w:tcPr>
          <w:p w14:paraId="2F1F23F8">
            <w:pPr>
              <w:spacing w:line="300" w:lineRule="auto"/>
              <w:rPr>
                <w:rFonts w:ascii="Times New Roman" w:hAnsi="Times New Roman"/>
                <w:color w:val="000000"/>
              </w:rPr>
            </w:pPr>
          </w:p>
        </w:tc>
        <w:tc>
          <w:tcPr>
            <w:tcW w:w="873" w:type="dxa"/>
            <w:vAlign w:val="center"/>
          </w:tcPr>
          <w:p w14:paraId="4379586D">
            <w:pPr>
              <w:spacing w:line="300" w:lineRule="auto"/>
              <w:rPr>
                <w:rFonts w:ascii="Times New Roman" w:hAnsi="Times New Roman"/>
                <w:color w:val="000000"/>
              </w:rPr>
            </w:pPr>
          </w:p>
        </w:tc>
        <w:tc>
          <w:tcPr>
            <w:tcW w:w="2120" w:type="dxa"/>
            <w:gridSpan w:val="3"/>
            <w:vAlign w:val="center"/>
          </w:tcPr>
          <w:p w14:paraId="3FD34C09">
            <w:pPr>
              <w:spacing w:line="300" w:lineRule="auto"/>
              <w:rPr>
                <w:rFonts w:ascii="Times New Roman" w:hAnsi="Times New Roman"/>
                <w:color w:val="000000"/>
              </w:rPr>
            </w:pPr>
          </w:p>
        </w:tc>
        <w:tc>
          <w:tcPr>
            <w:tcW w:w="2808" w:type="dxa"/>
            <w:tcBorders>
              <w:bottom w:val="single" w:color="auto" w:sz="4" w:space="0"/>
              <w:right w:val="single" w:color="auto" w:sz="4" w:space="0"/>
            </w:tcBorders>
            <w:vAlign w:val="center"/>
          </w:tcPr>
          <w:p w14:paraId="00D1DDC9">
            <w:pPr>
              <w:spacing w:line="300" w:lineRule="auto"/>
              <w:rPr>
                <w:rFonts w:ascii="Times New Roman" w:hAnsi="Times New Roman"/>
                <w:color w:val="000000"/>
              </w:rPr>
            </w:pPr>
          </w:p>
        </w:tc>
      </w:tr>
      <w:tr w14:paraId="2CC3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jc w:val="center"/>
        </w:trPr>
        <w:tc>
          <w:tcPr>
            <w:tcW w:w="8636" w:type="dxa"/>
            <w:gridSpan w:val="8"/>
            <w:tcBorders>
              <w:right w:val="single" w:color="auto" w:sz="4" w:space="0"/>
            </w:tcBorders>
            <w:vAlign w:val="center"/>
          </w:tcPr>
          <w:p w14:paraId="556F1232">
            <w:pPr>
              <w:spacing w:line="300" w:lineRule="auto"/>
              <w:rPr>
                <w:rFonts w:ascii="Times New Roman" w:hAnsi="Times New Roman"/>
                <w:color w:val="000000"/>
                <w:w w:val="90"/>
                <w:sz w:val="24"/>
              </w:rPr>
            </w:pPr>
            <w:r>
              <w:rPr>
                <w:rFonts w:ascii="Times New Roman" w:hAnsi="Times New Roman"/>
                <w:color w:val="000000"/>
                <w:w w:val="90"/>
                <w:sz w:val="24"/>
              </w:rPr>
              <w:t>承诺项目经理不兼职其他工程项目，如确有原因须更换，须事先征得业主同意。未经采购人同意更换项目经理，违约责任金1万元</w:t>
            </w:r>
            <w:r>
              <w:rPr>
                <w:rFonts w:hint="eastAsia" w:ascii="Times New Roman" w:hAnsi="Times New Roman"/>
                <w:color w:val="000000"/>
                <w:w w:val="90"/>
                <w:sz w:val="24"/>
              </w:rPr>
              <w:t>。</w:t>
            </w:r>
          </w:p>
        </w:tc>
      </w:tr>
      <w:tr w14:paraId="44ED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8" w:hRule="atLeast"/>
          <w:jc w:val="center"/>
        </w:trPr>
        <w:tc>
          <w:tcPr>
            <w:tcW w:w="8636" w:type="dxa"/>
            <w:gridSpan w:val="8"/>
            <w:tcBorders>
              <w:right w:val="single" w:color="auto" w:sz="4" w:space="0"/>
            </w:tcBorders>
            <w:vAlign w:val="center"/>
          </w:tcPr>
          <w:p w14:paraId="166A6313">
            <w:pPr>
              <w:spacing w:line="300" w:lineRule="auto"/>
              <w:rPr>
                <w:rFonts w:ascii="Times New Roman" w:hAnsi="Times New Roman"/>
                <w:color w:val="000000"/>
              </w:rPr>
            </w:pPr>
            <w:r>
              <w:rPr>
                <w:rFonts w:ascii="Times New Roman" w:hAnsi="Times New Roman"/>
                <w:color w:val="000000"/>
              </w:rPr>
              <w:t>质量要求及保证措施：</w:t>
            </w:r>
          </w:p>
        </w:tc>
      </w:tr>
      <w:tr w14:paraId="16C8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4" w:hRule="atLeast"/>
          <w:jc w:val="center"/>
        </w:trPr>
        <w:tc>
          <w:tcPr>
            <w:tcW w:w="8636" w:type="dxa"/>
            <w:gridSpan w:val="8"/>
            <w:vAlign w:val="center"/>
          </w:tcPr>
          <w:p w14:paraId="02A5D18F">
            <w:pPr>
              <w:spacing w:line="300" w:lineRule="auto"/>
              <w:rPr>
                <w:rFonts w:ascii="Times New Roman" w:hAnsi="Times New Roman"/>
                <w:color w:val="000000"/>
              </w:rPr>
            </w:pPr>
            <w:r>
              <w:rPr>
                <w:rFonts w:ascii="Times New Roman" w:hAnsi="Times New Roman"/>
                <w:color w:val="000000"/>
              </w:rPr>
              <w:t>主要技术措施：</w:t>
            </w:r>
          </w:p>
        </w:tc>
      </w:tr>
      <w:tr w14:paraId="70EA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4" w:hRule="atLeast"/>
          <w:jc w:val="center"/>
        </w:trPr>
        <w:tc>
          <w:tcPr>
            <w:tcW w:w="8636" w:type="dxa"/>
            <w:gridSpan w:val="8"/>
            <w:vAlign w:val="center"/>
          </w:tcPr>
          <w:p w14:paraId="3E595123">
            <w:pPr>
              <w:spacing w:line="300" w:lineRule="auto"/>
              <w:rPr>
                <w:rFonts w:ascii="Times New Roman" w:hAnsi="Times New Roman"/>
                <w:color w:val="000000"/>
              </w:rPr>
            </w:pPr>
            <w:r>
              <w:rPr>
                <w:rFonts w:hint="eastAsia" w:ascii="Times New Roman" w:hAnsi="Times New Roman"/>
                <w:color w:val="000000"/>
              </w:rPr>
              <w:t>工期保障措施：</w:t>
            </w:r>
          </w:p>
        </w:tc>
      </w:tr>
      <w:tr w14:paraId="68B2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6" w:hRule="atLeast"/>
          <w:jc w:val="center"/>
        </w:trPr>
        <w:tc>
          <w:tcPr>
            <w:tcW w:w="8636" w:type="dxa"/>
            <w:gridSpan w:val="8"/>
            <w:vAlign w:val="center"/>
          </w:tcPr>
          <w:p w14:paraId="7C047448">
            <w:pPr>
              <w:spacing w:line="300" w:lineRule="auto"/>
              <w:rPr>
                <w:rFonts w:ascii="Times New Roman" w:hAnsi="Times New Roman"/>
                <w:color w:val="000000"/>
              </w:rPr>
            </w:pPr>
            <w:r>
              <w:rPr>
                <w:rFonts w:ascii="Times New Roman" w:hAnsi="Times New Roman"/>
                <w:color w:val="000000"/>
              </w:rPr>
              <w:t>本完全认同招标文件的各项条款要求。</w:t>
            </w:r>
          </w:p>
        </w:tc>
      </w:tr>
      <w:tr w14:paraId="5E1F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1" w:hRule="atLeast"/>
          <w:jc w:val="center"/>
        </w:trPr>
        <w:tc>
          <w:tcPr>
            <w:tcW w:w="8636" w:type="dxa"/>
            <w:gridSpan w:val="8"/>
            <w:vAlign w:val="center"/>
          </w:tcPr>
          <w:p w14:paraId="0CEAB732">
            <w:pPr>
              <w:spacing w:line="300" w:lineRule="auto"/>
              <w:rPr>
                <w:rFonts w:ascii="Times New Roman" w:hAnsi="Times New Roman"/>
                <w:color w:val="000000"/>
              </w:rPr>
            </w:pPr>
            <w:r>
              <w:rPr>
                <w:rFonts w:ascii="Times New Roman" w:hAnsi="Times New Roman"/>
                <w:color w:val="000000"/>
              </w:rPr>
              <w:t>（签字）：</w:t>
            </w:r>
          </w:p>
        </w:tc>
      </w:tr>
    </w:tbl>
    <w:p w14:paraId="48FAEC55">
      <w:pPr>
        <w:spacing w:line="300" w:lineRule="auto"/>
        <w:rPr>
          <w:rFonts w:ascii="Times New Roman" w:hAnsi="Times New Roman"/>
          <w:color w:val="000000"/>
        </w:rPr>
      </w:pPr>
      <w:r>
        <w:rPr>
          <w:rFonts w:ascii="Times New Roman" w:hAnsi="Times New Roman"/>
          <w:color w:val="000000"/>
        </w:rPr>
        <w:t>注：1、请将开标一览表（一式两份）再另外单独封装在一个信封内，与投标文件同时递交，各项内容务必填写详细，可以填满，但不允许添加附页。</w:t>
      </w:r>
    </w:p>
    <w:p w14:paraId="5D49672C">
      <w:pPr>
        <w:spacing w:line="300" w:lineRule="auto"/>
        <w:ind w:firstLine="315" w:firstLineChars="150"/>
        <w:rPr>
          <w:rFonts w:ascii="Times New Roman" w:hAnsi="Times New Roman"/>
          <w:color w:val="000000"/>
        </w:rPr>
      </w:pPr>
      <w:r>
        <w:rPr>
          <w:rFonts w:ascii="Times New Roman" w:hAnsi="Times New Roman"/>
          <w:color w:val="000000"/>
        </w:rPr>
        <w:t>2、在评标过程中，评定内容的具体数据以此表为准。</w:t>
      </w:r>
    </w:p>
    <w:p w14:paraId="6407EB35">
      <w:pPr>
        <w:spacing w:line="300" w:lineRule="auto"/>
        <w:rPr>
          <w:rFonts w:ascii="Times New Roman" w:hAnsi="Times New Roman"/>
          <w:bCs/>
          <w:color w:val="000000"/>
        </w:rPr>
      </w:pPr>
      <w:r>
        <w:rPr>
          <w:rFonts w:ascii="Times New Roman" w:hAnsi="Times New Roman"/>
          <w:bCs/>
          <w:color w:val="000000"/>
        </w:rPr>
        <w:t xml:space="preserve">                                          </w:t>
      </w:r>
    </w:p>
    <w:p w14:paraId="1ED7437F">
      <w:pPr>
        <w:spacing w:line="300" w:lineRule="auto"/>
        <w:rPr>
          <w:rFonts w:ascii="Times New Roman" w:hAnsi="Times New Roman"/>
          <w:bCs/>
          <w:color w:val="000000"/>
        </w:rPr>
      </w:pPr>
    </w:p>
    <w:p w14:paraId="4345208D">
      <w:pPr>
        <w:spacing w:line="300" w:lineRule="auto"/>
        <w:ind w:firstLine="5880" w:firstLineChars="2800"/>
        <w:rPr>
          <w:rFonts w:ascii="Times New Roman" w:hAnsi="Times New Roman"/>
          <w:bCs/>
          <w:color w:val="000000"/>
        </w:rPr>
      </w:pPr>
      <w:r>
        <w:rPr>
          <w:rFonts w:ascii="Times New Roman" w:hAnsi="Times New Roman"/>
          <w:bCs/>
          <w:color w:val="000000"/>
        </w:rPr>
        <w:t>日期：    年   月   日</w:t>
      </w:r>
    </w:p>
    <w:p w14:paraId="4DFE8AA7">
      <w:pPr>
        <w:pStyle w:val="3"/>
        <w:spacing w:before="0" w:after="0" w:line="300" w:lineRule="auto"/>
        <w:jc w:val="center"/>
        <w:rPr>
          <w:rFonts w:ascii="Times New Roman" w:hAnsi="Times New Roman"/>
          <w:color w:val="000000"/>
        </w:rPr>
      </w:pPr>
      <w:r>
        <w:rPr>
          <w:rFonts w:ascii="Times New Roman" w:hAnsi="Times New Roman"/>
          <w:bCs w:val="0"/>
          <w:color w:val="000000"/>
        </w:rPr>
        <w:br w:type="page"/>
      </w:r>
      <w:bookmarkStart w:id="122" w:name="_Toc20455"/>
      <w:bookmarkStart w:id="123" w:name="_Toc246996362"/>
      <w:bookmarkStart w:id="124" w:name="_Toc247085880"/>
      <w:bookmarkStart w:id="125" w:name="_Toc152045794"/>
      <w:bookmarkStart w:id="126" w:name="_Toc296602607"/>
      <w:bookmarkStart w:id="127" w:name="_Toc246997105"/>
      <w:bookmarkStart w:id="128" w:name="_Toc152042583"/>
      <w:bookmarkStart w:id="129" w:name="_Toc144974862"/>
      <w:r>
        <w:rPr>
          <w:rFonts w:ascii="Times New Roman" w:hAnsi="Times New Roman"/>
          <w:bCs w:val="0"/>
          <w:color w:val="000000"/>
        </w:rPr>
        <w:t>（四）</w:t>
      </w:r>
      <w:r>
        <w:rPr>
          <w:rFonts w:ascii="Times New Roman" w:hAnsi="Times New Roman"/>
          <w:color w:val="000000"/>
        </w:rPr>
        <w:t>投标保证金</w:t>
      </w:r>
      <w:bookmarkEnd w:id="122"/>
      <w:bookmarkEnd w:id="123"/>
      <w:bookmarkEnd w:id="124"/>
      <w:bookmarkEnd w:id="125"/>
      <w:bookmarkEnd w:id="126"/>
      <w:bookmarkEnd w:id="127"/>
      <w:bookmarkEnd w:id="128"/>
      <w:bookmarkEnd w:id="129"/>
    </w:p>
    <w:p w14:paraId="391A02CF">
      <w:pPr>
        <w:spacing w:line="300" w:lineRule="auto"/>
        <w:rPr>
          <w:rFonts w:ascii="Times New Roman" w:hAnsi="Times New Roman"/>
          <w:color w:val="000000"/>
          <w:szCs w:val="21"/>
        </w:rPr>
      </w:pPr>
    </w:p>
    <w:p w14:paraId="35EA8662">
      <w:pPr>
        <w:spacing w:line="300" w:lineRule="auto"/>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（招标人名称）：</w:t>
      </w:r>
    </w:p>
    <w:p w14:paraId="01322683">
      <w:pPr>
        <w:spacing w:line="300" w:lineRule="auto"/>
        <w:ind w:firstLine="525" w:firstLineChars="250"/>
        <w:rPr>
          <w:rFonts w:ascii="Times New Roman" w:hAnsi="Times New Roman"/>
          <w:color w:val="000000"/>
          <w:szCs w:val="21"/>
        </w:rPr>
      </w:pPr>
      <w:r>
        <w:rPr>
          <w:rFonts w:ascii="Times New Roman" w:hAnsi="Times New Roman"/>
          <w:color w:val="000000"/>
          <w:szCs w:val="21"/>
        </w:rPr>
        <w:t>鉴于</w:t>
      </w:r>
      <w:r>
        <w:rPr>
          <w:rFonts w:ascii="Times New Roman" w:hAnsi="Times New Roman"/>
          <w:color w:val="000000"/>
          <w:szCs w:val="21"/>
          <w:u w:val="single"/>
        </w:rPr>
        <w:t xml:space="preserve">                   </w:t>
      </w:r>
      <w:r>
        <w:rPr>
          <w:rFonts w:ascii="Times New Roman" w:hAnsi="Times New Roman"/>
          <w:color w:val="000000"/>
          <w:szCs w:val="21"/>
        </w:rPr>
        <w:t>（名称）（以下简称“”）参加</w:t>
      </w:r>
      <w:r>
        <w:rPr>
          <w:rFonts w:ascii="Times New Roman" w:hAnsi="Times New Roman"/>
          <w:color w:val="000000"/>
          <w:szCs w:val="21"/>
          <w:u w:val="single"/>
        </w:rPr>
        <w:t xml:space="preserve">       </w:t>
      </w:r>
      <w:r>
        <w:rPr>
          <w:rFonts w:ascii="Times New Roman" w:hAnsi="Times New Roman"/>
          <w:color w:val="000000"/>
          <w:szCs w:val="21"/>
        </w:rPr>
        <w:t>（项目名称）的施工投标，在此无条件地、不可撤销地保证：一旦收到采购人提出的下述任何一种事实的书面通知，在7日内无条件地向采购人支付总额不超过</w:t>
      </w:r>
      <w:r>
        <w:rPr>
          <w:rFonts w:ascii="Times New Roman" w:hAnsi="Times New Roman"/>
          <w:color w:val="000000"/>
          <w:szCs w:val="21"/>
          <w:u w:val="single"/>
        </w:rPr>
        <w:t xml:space="preserve">                  </w:t>
      </w:r>
      <w:r>
        <w:rPr>
          <w:rFonts w:ascii="Times New Roman" w:hAnsi="Times New Roman"/>
          <w:color w:val="000000"/>
          <w:szCs w:val="21"/>
        </w:rPr>
        <w:t>（投标保证金额度）的任何你方要求的金额：</w:t>
      </w:r>
    </w:p>
    <w:p w14:paraId="7BFC18F2">
      <w:pPr>
        <w:spacing w:line="300" w:lineRule="auto"/>
        <w:ind w:firstLine="420" w:firstLineChars="200"/>
        <w:rPr>
          <w:rFonts w:ascii="Times New Roman" w:hAnsi="Times New Roman"/>
          <w:color w:val="000000"/>
          <w:szCs w:val="21"/>
        </w:rPr>
      </w:pPr>
      <w:r>
        <w:rPr>
          <w:rFonts w:ascii="Times New Roman" w:hAnsi="Times New Roman"/>
          <w:color w:val="000000"/>
        </w:rPr>
        <w:t>（1）在规定的投标有效期内撤销或修改其投标文件；</w:t>
      </w:r>
    </w:p>
    <w:p w14:paraId="11560650">
      <w:pPr>
        <w:spacing w:line="300" w:lineRule="auto"/>
        <w:ind w:firstLine="420" w:firstLineChars="200"/>
        <w:rPr>
          <w:rFonts w:ascii="Times New Roman" w:hAnsi="Times New Roman"/>
          <w:color w:val="000000"/>
        </w:rPr>
      </w:pPr>
      <w:r>
        <w:rPr>
          <w:rFonts w:ascii="Times New Roman" w:hAnsi="Times New Roman"/>
          <w:color w:val="000000"/>
        </w:rPr>
        <w:t>（2）成交在收到成交候选人后，无正当理由拒签合同协议书或未按招标文件规定提交履约担保；</w:t>
      </w:r>
    </w:p>
    <w:p w14:paraId="2C3CD699">
      <w:pPr>
        <w:spacing w:line="300" w:lineRule="auto"/>
        <w:ind w:firstLine="420" w:firstLineChars="200"/>
        <w:rPr>
          <w:rFonts w:ascii="Times New Roman" w:hAnsi="Times New Roman"/>
          <w:color w:val="000000"/>
        </w:rPr>
      </w:pPr>
      <w:r>
        <w:rPr>
          <w:rFonts w:ascii="Times New Roman" w:hAnsi="Times New Roman"/>
          <w:color w:val="000000"/>
        </w:rPr>
        <w:t>（3）有经行政主管部门查实、通报的不良行为记录，承诺与事实不符，给采购人造成损失的。</w:t>
      </w:r>
    </w:p>
    <w:p w14:paraId="35017384">
      <w:pPr>
        <w:spacing w:line="300" w:lineRule="auto"/>
        <w:ind w:firstLine="4888" w:firstLineChars="2328"/>
        <w:rPr>
          <w:rFonts w:ascii="Times New Roman" w:hAnsi="Times New Roman"/>
          <w:color w:val="000000"/>
          <w:szCs w:val="21"/>
        </w:rPr>
      </w:pPr>
    </w:p>
    <w:p w14:paraId="13B950D1">
      <w:pPr>
        <w:spacing w:line="300" w:lineRule="auto"/>
        <w:rPr>
          <w:rFonts w:ascii="Times New Roman" w:hAnsi="Times New Roman"/>
          <w:b/>
          <w:color w:val="000000"/>
          <w:szCs w:val="21"/>
        </w:rPr>
      </w:pPr>
      <w:r>
        <w:rPr>
          <w:rFonts w:ascii="Times New Roman" w:hAnsi="Times New Roman"/>
          <w:b/>
          <w:color w:val="000000"/>
          <w:szCs w:val="21"/>
        </w:rPr>
        <w:t>附：电汇底单复印件加盖公章及单位开户许可证复印件加盖公章（因材料提交不齐全而造成的投标保证金无法按时退还责任由投标人自行承担）</w:t>
      </w:r>
    </w:p>
    <w:p w14:paraId="475E2ECD">
      <w:pPr>
        <w:spacing w:line="300" w:lineRule="auto"/>
        <w:ind w:firstLine="4888" w:firstLineChars="2328"/>
        <w:rPr>
          <w:rFonts w:ascii="Times New Roman" w:hAnsi="Times New Roman"/>
          <w:color w:val="000000"/>
          <w:szCs w:val="21"/>
        </w:rPr>
      </w:pPr>
    </w:p>
    <w:p w14:paraId="03365641">
      <w:pPr>
        <w:spacing w:line="300" w:lineRule="auto"/>
        <w:ind w:firstLine="3780" w:firstLineChars="1800"/>
        <w:rPr>
          <w:rFonts w:ascii="Times New Roman" w:hAnsi="Times New Roman"/>
          <w:color w:val="000000"/>
          <w:szCs w:val="21"/>
        </w:rPr>
      </w:pPr>
      <w:r>
        <w:rPr>
          <w:rFonts w:ascii="Times New Roman" w:hAnsi="Times New Roman"/>
          <w:color w:val="000000"/>
          <w:szCs w:val="21"/>
        </w:rPr>
        <w:t xml:space="preserve">       法定代表人或其委托代理人：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56979EAE">
      <w:pPr>
        <w:spacing w:line="300" w:lineRule="auto"/>
        <w:ind w:firstLine="4515" w:firstLineChars="2150"/>
        <w:rPr>
          <w:rFonts w:ascii="Times New Roman" w:hAnsi="Times New Roman"/>
          <w:color w:val="000000"/>
          <w:szCs w:val="21"/>
        </w:rPr>
      </w:pPr>
      <w:r>
        <w:rPr>
          <w:rFonts w:ascii="Times New Roman" w:hAnsi="Times New Roman"/>
          <w:color w:val="000000"/>
          <w:szCs w:val="21"/>
        </w:rPr>
        <w:t>地    址：</w:t>
      </w:r>
      <w:r>
        <w:rPr>
          <w:rFonts w:ascii="Times New Roman" w:hAnsi="Times New Roman"/>
          <w:color w:val="000000"/>
          <w:szCs w:val="21"/>
          <w:u w:val="single"/>
        </w:rPr>
        <w:t xml:space="preserve">                                   </w:t>
      </w:r>
    </w:p>
    <w:p w14:paraId="11AF535B">
      <w:pPr>
        <w:spacing w:line="300" w:lineRule="auto"/>
        <w:ind w:firstLine="4515" w:firstLineChars="21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0E1D81E2">
      <w:pPr>
        <w:spacing w:line="300" w:lineRule="auto"/>
        <w:ind w:firstLine="4515" w:firstLineChars="2150"/>
        <w:rPr>
          <w:rFonts w:ascii="Times New Roman" w:hAnsi="Times New Roman"/>
          <w:color w:val="000000"/>
          <w:szCs w:val="21"/>
        </w:rPr>
      </w:pPr>
      <w:r>
        <w:rPr>
          <w:rFonts w:ascii="Times New Roman" w:hAnsi="Times New Roman"/>
          <w:color w:val="000000"/>
          <w:szCs w:val="21"/>
        </w:rPr>
        <w:t>电    话：</w:t>
      </w:r>
      <w:r>
        <w:rPr>
          <w:rFonts w:ascii="Times New Roman" w:hAnsi="Times New Roman"/>
          <w:color w:val="000000"/>
          <w:szCs w:val="21"/>
          <w:u w:val="single"/>
        </w:rPr>
        <w:t xml:space="preserve">                                   </w:t>
      </w:r>
    </w:p>
    <w:p w14:paraId="02D5401A">
      <w:pPr>
        <w:spacing w:line="300" w:lineRule="auto"/>
        <w:ind w:firstLine="4888" w:firstLineChars="2328"/>
        <w:rPr>
          <w:rFonts w:ascii="Times New Roman" w:hAnsi="Times New Roman"/>
          <w:color w:val="000000"/>
          <w:szCs w:val="21"/>
        </w:rPr>
      </w:pPr>
    </w:p>
    <w:p w14:paraId="1928E410">
      <w:pPr>
        <w:spacing w:line="300" w:lineRule="auto"/>
        <w:ind w:firstLine="5728" w:firstLineChars="2728"/>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bookmarkEnd w:id="75"/>
      <w:bookmarkStart w:id="130" w:name="_Toc152042585"/>
      <w:bookmarkStart w:id="131" w:name="_Toc246997107"/>
      <w:bookmarkStart w:id="132" w:name="_Toc296602609"/>
      <w:bookmarkStart w:id="133" w:name="_Toc152045796"/>
      <w:bookmarkStart w:id="134" w:name="_Toc179632816"/>
      <w:bookmarkStart w:id="135" w:name="_Toc144974864"/>
      <w:bookmarkStart w:id="136" w:name="_Toc246996364"/>
      <w:bookmarkStart w:id="137" w:name="_Toc247085882"/>
    </w:p>
    <w:p w14:paraId="2F7406B2">
      <w:pPr>
        <w:keepNext/>
        <w:keepLines/>
        <w:spacing w:before="100" w:line="400" w:lineRule="exact"/>
        <w:ind w:firstLine="400"/>
        <w:jc w:val="center"/>
        <w:outlineLvl w:val="1"/>
        <w:rPr>
          <w:rFonts w:ascii="Times New Roman" w:hAnsi="Times New Roman" w:eastAsia="黑体"/>
          <w:b/>
          <w:color w:val="000000"/>
          <w:kern w:val="0"/>
          <w:sz w:val="32"/>
          <w:szCs w:val="32"/>
        </w:rPr>
      </w:pPr>
      <w:r>
        <w:rPr>
          <w:rFonts w:ascii="Times New Roman" w:hAnsi="Times New Roman"/>
          <w:color w:val="000000"/>
          <w:szCs w:val="21"/>
        </w:rPr>
        <w:br w:type="page"/>
      </w:r>
      <w:bookmarkStart w:id="138" w:name="_Toc28393"/>
      <w:r>
        <w:rPr>
          <w:rFonts w:hint="eastAsia" w:ascii="Times New Roman" w:hAnsi="Times New Roman" w:eastAsia="黑体"/>
          <w:b/>
          <w:color w:val="000000"/>
          <w:kern w:val="0"/>
          <w:sz w:val="32"/>
          <w:szCs w:val="32"/>
        </w:rPr>
        <w:t>（五）工程量清单</w:t>
      </w:r>
      <w:bookmarkEnd w:id="138"/>
      <w:bookmarkStart w:id="139" w:name="_Toc144974835"/>
      <w:bookmarkStart w:id="140" w:name="_Toc179632790"/>
      <w:bookmarkStart w:id="141" w:name="_Toc152042555"/>
      <w:bookmarkStart w:id="142" w:name="_Toc152045773"/>
    </w:p>
    <w:p w14:paraId="33E1611A">
      <w:pPr>
        <w:keepNext/>
        <w:keepLines/>
        <w:spacing w:before="100" w:line="400" w:lineRule="exact"/>
        <w:ind w:firstLine="400"/>
        <w:jc w:val="center"/>
        <w:outlineLvl w:val="1"/>
        <w:rPr>
          <w:rFonts w:hint="eastAsia"/>
        </w:rPr>
      </w:pPr>
      <w:bookmarkStart w:id="143" w:name="_Toc23840"/>
      <w:r>
        <w:rPr>
          <w:rFonts w:hint="eastAsia" w:ascii="Times New Roman" w:hAnsi="Times New Roman" w:eastAsia="黑体"/>
          <w:kern w:val="0"/>
          <w:sz w:val="28"/>
          <w:szCs w:val="20"/>
        </w:rPr>
        <w:t>1. 工程量清单编制说明</w:t>
      </w:r>
      <w:bookmarkEnd w:id="139"/>
      <w:bookmarkEnd w:id="140"/>
      <w:bookmarkEnd w:id="141"/>
      <w:bookmarkEnd w:id="142"/>
      <w:bookmarkEnd w:id="143"/>
    </w:p>
    <w:p w14:paraId="6048383E">
      <w:pPr>
        <w:spacing w:line="300" w:lineRule="auto"/>
        <w:ind w:left="480" w:hanging="480" w:hangingChars="200"/>
        <w:rPr>
          <w:rFonts w:ascii="Times New Roman" w:hAnsi="Times New Roman"/>
          <w:color w:val="000000"/>
        </w:rPr>
      </w:pPr>
      <w:r>
        <w:rPr>
          <w:rFonts w:ascii="Times New Roman" w:hAnsi="Times New Roman" w:eastAsia="黑体"/>
          <w:kern w:val="0"/>
          <w:sz w:val="24"/>
          <w:szCs w:val="24"/>
        </w:rPr>
        <w:t>一、编制依据</w:t>
      </w:r>
      <w:r>
        <w:rPr>
          <w:rFonts w:ascii="Segoe UI" w:hAnsi="Segoe UI" w:eastAsia="Segoe UI" w:cs="Segoe UI"/>
          <w:color w:val="0F1115"/>
          <w:sz w:val="24"/>
          <w:szCs w:val="24"/>
          <w:shd w:val="clear" w:color="auto" w:fill="FFFFFF"/>
        </w:rPr>
        <w:br w:type="textWrapping"/>
      </w:r>
      <w:r>
        <w:rPr>
          <w:rFonts w:ascii="Times New Roman" w:hAnsi="Times New Roman"/>
          <w:color w:val="000000"/>
        </w:rPr>
        <w:t>本工程量清单依据以下文件、规范、标准及相关规定编制：</w:t>
      </w:r>
    </w:p>
    <w:p w14:paraId="585CB520">
      <w:pPr>
        <w:spacing w:line="300" w:lineRule="auto"/>
        <w:ind w:firstLine="420" w:firstLineChars="200"/>
        <w:rPr>
          <w:rFonts w:ascii="Times New Roman" w:hAnsi="Times New Roman"/>
          <w:color w:val="000000"/>
        </w:rPr>
      </w:pPr>
      <w:r>
        <w:rPr>
          <w:rFonts w:hint="eastAsia" w:ascii="Times New Roman" w:hAnsi="Times New Roman"/>
          <w:color w:val="000000"/>
        </w:rPr>
        <w:t>1、</w:t>
      </w:r>
      <w:r>
        <w:rPr>
          <w:rFonts w:ascii="Times New Roman" w:hAnsi="Times New Roman"/>
          <w:color w:val="000000"/>
        </w:rPr>
        <w:t>《建设工程工程量清单计价规范》（GB50500-2013）；</w:t>
      </w:r>
    </w:p>
    <w:p w14:paraId="1E510A64">
      <w:pPr>
        <w:spacing w:line="300" w:lineRule="auto"/>
        <w:ind w:firstLine="420" w:firstLineChars="200"/>
        <w:rPr>
          <w:rFonts w:ascii="Times New Roman" w:hAnsi="Times New Roman"/>
          <w:color w:val="000000"/>
        </w:rPr>
      </w:pPr>
      <w:r>
        <w:rPr>
          <w:rFonts w:hint="eastAsia" w:ascii="Times New Roman" w:hAnsi="Times New Roman"/>
          <w:color w:val="000000"/>
        </w:rPr>
        <w:t>2、</w:t>
      </w:r>
      <w:r>
        <w:rPr>
          <w:rFonts w:ascii="Times New Roman" w:hAnsi="Times New Roman"/>
          <w:color w:val="000000"/>
        </w:rPr>
        <w:t>《山东省市政工程消耗量定额》及其配套的工程费用项目组成与计算规则；</w:t>
      </w:r>
    </w:p>
    <w:p w14:paraId="2AAC9345">
      <w:pPr>
        <w:spacing w:line="300" w:lineRule="auto"/>
        <w:ind w:firstLine="420" w:firstLineChars="200"/>
        <w:rPr>
          <w:rFonts w:ascii="Times New Roman" w:hAnsi="Times New Roman"/>
          <w:color w:val="000000"/>
        </w:rPr>
      </w:pPr>
      <w:r>
        <w:rPr>
          <w:rFonts w:hint="eastAsia" w:ascii="Times New Roman" w:hAnsi="Times New Roman"/>
          <w:color w:val="000000"/>
        </w:rPr>
        <w:t>3、</w:t>
      </w:r>
      <w:r>
        <w:rPr>
          <w:rFonts w:ascii="Times New Roman" w:hAnsi="Times New Roman"/>
          <w:color w:val="000000"/>
        </w:rPr>
        <w:t>山东省及济南市建设行政主管部门发布的现行有关建设工程造价管理的规范性文件；</w:t>
      </w:r>
    </w:p>
    <w:p w14:paraId="555D968F">
      <w:pPr>
        <w:spacing w:line="300" w:lineRule="auto"/>
        <w:ind w:firstLine="420" w:firstLineChars="200"/>
        <w:rPr>
          <w:rFonts w:ascii="Times New Roman" w:hAnsi="Times New Roman"/>
          <w:color w:val="000000"/>
        </w:rPr>
      </w:pPr>
      <w:r>
        <w:rPr>
          <w:rFonts w:hint="eastAsia" w:ascii="Times New Roman" w:hAnsi="Times New Roman"/>
          <w:color w:val="000000"/>
        </w:rPr>
        <w:t>4、</w:t>
      </w:r>
      <w:r>
        <w:rPr>
          <w:rFonts w:ascii="Times New Roman" w:hAnsi="Times New Roman"/>
          <w:color w:val="000000"/>
        </w:rPr>
        <w:t>规费、税金等不可竞争性费用按济南市工程建设标准造价站发布的最新标准及规定计取。</w:t>
      </w:r>
    </w:p>
    <w:p w14:paraId="5E4281EA">
      <w:pPr>
        <w:spacing w:line="300" w:lineRule="auto"/>
        <w:ind w:left="480" w:hanging="480" w:hangingChars="200"/>
        <w:rPr>
          <w:rFonts w:ascii="Times New Roman" w:hAnsi="Times New Roman" w:eastAsia="黑体"/>
          <w:kern w:val="0"/>
          <w:sz w:val="24"/>
          <w:szCs w:val="24"/>
        </w:rPr>
      </w:pPr>
      <w:r>
        <w:rPr>
          <w:rFonts w:ascii="Times New Roman" w:hAnsi="Times New Roman" w:eastAsia="黑体"/>
          <w:kern w:val="0"/>
          <w:sz w:val="24"/>
          <w:szCs w:val="24"/>
        </w:rPr>
        <w:t>二、编制范围</w:t>
      </w:r>
    </w:p>
    <w:p w14:paraId="56BCD3B5">
      <w:pPr>
        <w:spacing w:line="300" w:lineRule="auto"/>
        <w:ind w:firstLine="420" w:firstLineChars="200"/>
        <w:rPr>
          <w:rFonts w:ascii="Times New Roman" w:hAnsi="Times New Roman"/>
          <w:color w:val="000000"/>
        </w:rPr>
      </w:pPr>
      <w:r>
        <w:rPr>
          <w:rFonts w:hint="eastAsia" w:ascii="Times New Roman" w:hAnsi="Times New Roman"/>
          <w:color w:val="000000"/>
        </w:rPr>
        <w:t>1、</w:t>
      </w:r>
      <w:r>
        <w:rPr>
          <w:rFonts w:ascii="Times New Roman" w:hAnsi="Times New Roman"/>
          <w:color w:val="000000"/>
        </w:rPr>
        <w:t>本工程量清单涵盖招标文件约定的“矿山连接道路破损维修工程”全部施工内容，具体包括但不限于：原有沥青路面铣刨与清除、水泥稳定碎石基层铺设、透层/封层/粘层沥青喷洒、SBS改性沥青混凝土（AC-20及SMA-13）面层摊铺等。</w:t>
      </w:r>
    </w:p>
    <w:p w14:paraId="65CD59C1">
      <w:pPr>
        <w:spacing w:line="300" w:lineRule="auto"/>
        <w:ind w:firstLine="420" w:firstLineChars="200"/>
        <w:rPr>
          <w:rFonts w:ascii="Times New Roman" w:hAnsi="Times New Roman"/>
          <w:color w:val="000000"/>
        </w:rPr>
      </w:pPr>
      <w:r>
        <w:rPr>
          <w:rFonts w:hint="eastAsia" w:ascii="Times New Roman" w:hAnsi="Times New Roman"/>
          <w:color w:val="000000"/>
        </w:rPr>
        <w:t>2、</w:t>
      </w:r>
      <w:r>
        <w:rPr>
          <w:rFonts w:ascii="Times New Roman" w:hAnsi="Times New Roman"/>
          <w:color w:val="000000"/>
        </w:rPr>
        <w:t>清单工程量根据现有资料计算，投标人应依据招标文件并结合自身施工经验进行复核。清单中的工作内容描述为完成该清单项目所需的主要工作，未详尽描述但为完成该清单项目所必需的所有责任、义务、辅助工作和费用，均应视为已包含在相应清单子目的综合单价中。</w:t>
      </w:r>
    </w:p>
    <w:p w14:paraId="27DE8844">
      <w:pPr>
        <w:spacing w:line="300" w:lineRule="auto"/>
        <w:ind w:firstLine="420" w:firstLineChars="200"/>
        <w:rPr>
          <w:rFonts w:ascii="Times New Roman" w:hAnsi="Times New Roman"/>
          <w:color w:val="000000"/>
        </w:rPr>
      </w:pPr>
      <w:r>
        <w:rPr>
          <w:rFonts w:hint="eastAsia" w:ascii="Times New Roman" w:hAnsi="Times New Roman"/>
          <w:color w:val="000000"/>
        </w:rPr>
        <w:t>3、</w:t>
      </w:r>
      <w:r>
        <w:rPr>
          <w:rFonts w:ascii="Times New Roman" w:hAnsi="Times New Roman"/>
          <w:color w:val="000000"/>
        </w:rPr>
        <w:t>招标人供应材料（甲供材）：水泥稳定碎石混合料为甲供材。该部分材料费不计入投标总价，但投标人报价中必须包含其接收、</w:t>
      </w:r>
      <w:r>
        <w:rPr>
          <w:rFonts w:hint="eastAsia" w:ascii="Times New Roman" w:hAnsi="Times New Roman"/>
          <w:color w:val="000000"/>
        </w:rPr>
        <w:t>使用</w:t>
      </w:r>
      <w:r>
        <w:rPr>
          <w:rFonts w:ascii="Times New Roman" w:hAnsi="Times New Roman"/>
          <w:color w:val="000000"/>
        </w:rPr>
        <w:t>、摊铺、损耗及相关的全部费用。</w:t>
      </w:r>
    </w:p>
    <w:p w14:paraId="15DCC10C">
      <w:pPr>
        <w:spacing w:line="300" w:lineRule="auto"/>
        <w:ind w:firstLine="420" w:firstLineChars="200"/>
        <w:rPr>
          <w:rFonts w:ascii="Times New Roman" w:hAnsi="Times New Roman"/>
          <w:color w:val="000000"/>
        </w:rPr>
      </w:pPr>
      <w:r>
        <w:rPr>
          <w:rFonts w:hint="eastAsia" w:ascii="Times New Roman" w:hAnsi="Times New Roman"/>
          <w:color w:val="000000"/>
        </w:rPr>
        <w:t>4、</w:t>
      </w:r>
      <w:r>
        <w:rPr>
          <w:rFonts w:ascii="Times New Roman" w:hAnsi="Times New Roman"/>
          <w:color w:val="000000"/>
        </w:rPr>
        <w:t>其他：清单项目特征描述是确定综合单价的重要依据</w:t>
      </w:r>
      <w:r>
        <w:rPr>
          <w:rFonts w:hint="eastAsia" w:ascii="Times New Roman" w:hAnsi="Times New Roman"/>
          <w:color w:val="000000"/>
        </w:rPr>
        <w:t>，</w:t>
      </w:r>
      <w:r>
        <w:rPr>
          <w:rFonts w:ascii="Times New Roman" w:hAnsi="Times New Roman"/>
          <w:color w:val="000000"/>
        </w:rPr>
        <w:t>若投标人认为存在歧义，应在招标文件规定的答疑时限内提出。</w:t>
      </w:r>
    </w:p>
    <w:p w14:paraId="196B43E7">
      <w:pPr>
        <w:spacing w:line="300" w:lineRule="auto"/>
        <w:ind w:left="480" w:hanging="480" w:hangingChars="200"/>
        <w:rPr>
          <w:rFonts w:ascii="Times New Roman" w:hAnsi="Times New Roman" w:eastAsia="黑体"/>
          <w:kern w:val="0"/>
          <w:sz w:val="24"/>
          <w:szCs w:val="24"/>
        </w:rPr>
      </w:pPr>
      <w:r>
        <w:rPr>
          <w:rFonts w:hint="eastAsia" w:ascii="Times New Roman" w:hAnsi="Times New Roman" w:eastAsia="黑体"/>
          <w:kern w:val="0"/>
          <w:sz w:val="24"/>
          <w:szCs w:val="24"/>
        </w:rPr>
        <w:t>三、</w:t>
      </w:r>
      <w:r>
        <w:rPr>
          <w:rFonts w:ascii="Times New Roman" w:hAnsi="Times New Roman" w:eastAsia="黑体"/>
          <w:kern w:val="0"/>
          <w:sz w:val="24"/>
          <w:szCs w:val="24"/>
        </w:rPr>
        <w:t>投标报价说明</w:t>
      </w:r>
    </w:p>
    <w:p w14:paraId="30D80816">
      <w:pPr>
        <w:spacing w:line="300" w:lineRule="auto"/>
        <w:ind w:firstLine="420" w:firstLineChars="200"/>
        <w:rPr>
          <w:rFonts w:ascii="Times New Roman" w:hAnsi="Times New Roman"/>
          <w:color w:val="000000"/>
        </w:rPr>
      </w:pPr>
      <w:r>
        <w:rPr>
          <w:rFonts w:hint="eastAsia" w:ascii="Times New Roman" w:hAnsi="Times New Roman"/>
          <w:color w:val="000000"/>
        </w:rPr>
        <w:t>1、</w:t>
      </w:r>
      <w:r>
        <w:rPr>
          <w:rFonts w:ascii="Times New Roman" w:hAnsi="Times New Roman"/>
          <w:color w:val="000000"/>
        </w:rPr>
        <w:t>报价要求：投标人须根据本招标文件、工程量清单、技术标准和要求以及市场情况，进行自主报价。工程量清单中的每一子目均需填报综合单价和合价，只允许有一个报价，不得有选择性报价。</w:t>
      </w:r>
    </w:p>
    <w:p w14:paraId="7543077B">
      <w:pPr>
        <w:spacing w:line="300" w:lineRule="auto"/>
        <w:ind w:firstLine="420" w:firstLineChars="200"/>
        <w:rPr>
          <w:rFonts w:ascii="Times New Roman" w:hAnsi="Times New Roman"/>
          <w:color w:val="000000"/>
        </w:rPr>
      </w:pPr>
      <w:r>
        <w:rPr>
          <w:rFonts w:hint="eastAsia" w:ascii="Times New Roman" w:hAnsi="Times New Roman"/>
          <w:color w:val="000000"/>
        </w:rPr>
        <w:t>2、</w:t>
      </w:r>
      <w:r>
        <w:rPr>
          <w:rFonts w:ascii="Times New Roman" w:hAnsi="Times New Roman"/>
          <w:color w:val="000000"/>
        </w:rPr>
        <w:t>报价完整性：所填报的</w:t>
      </w:r>
      <w:r>
        <w:rPr>
          <w:rFonts w:hint="eastAsia" w:ascii="Times New Roman" w:hAnsi="Times New Roman"/>
          <w:color w:val="000000"/>
          <w:lang w:val="en-US" w:eastAsia="zh-CN"/>
        </w:rPr>
        <w:t>全费用</w:t>
      </w:r>
      <w:r>
        <w:rPr>
          <w:rFonts w:ascii="Times New Roman" w:hAnsi="Times New Roman"/>
          <w:color w:val="000000"/>
        </w:rPr>
        <w:t>综合单价和总价，应已全面包含为完成该项目清单子目所明示或暗示的全部工作内容、责任、义务和风险。具体包括：人工费、材料费（除甲供材本身价值）、施工机具使用费；管理费、利润；措施项目费（如安全文明施工费、夜间施工费、冬雨季施工费、春节赶工措施费、成品保护</w:t>
      </w:r>
      <w:r>
        <w:rPr>
          <w:rFonts w:hint="eastAsia" w:ascii="Times New Roman" w:hAnsi="Times New Roman"/>
          <w:color w:val="000000"/>
        </w:rPr>
        <w:t>、</w:t>
      </w:r>
      <w:r>
        <w:rPr>
          <w:rFonts w:ascii="Times New Roman" w:hAnsi="Times New Roman"/>
          <w:color w:val="000000"/>
        </w:rPr>
        <w:t>检验费等）、规费、税金（增值税）</w:t>
      </w:r>
      <w:r>
        <w:rPr>
          <w:rFonts w:hint="eastAsia" w:ascii="Times New Roman" w:hAnsi="Times New Roman"/>
          <w:color w:val="000000"/>
          <w:lang w:val="en-US" w:eastAsia="zh-CN"/>
        </w:rPr>
        <w:t>等</w:t>
      </w:r>
      <w:r>
        <w:rPr>
          <w:rFonts w:ascii="Times New Roman" w:hAnsi="Times New Roman"/>
          <w:color w:val="000000"/>
        </w:rPr>
        <w:t>；</w:t>
      </w:r>
    </w:p>
    <w:p w14:paraId="0EEA5690">
      <w:pPr>
        <w:spacing w:line="300" w:lineRule="auto"/>
        <w:ind w:firstLine="420" w:firstLineChars="200"/>
        <w:rPr>
          <w:rFonts w:ascii="Times New Roman" w:hAnsi="Times New Roman"/>
          <w:color w:val="000000"/>
        </w:rPr>
      </w:pPr>
      <w:r>
        <w:rPr>
          <w:rFonts w:hint="eastAsia" w:ascii="Times New Roman" w:hAnsi="Times New Roman"/>
          <w:color w:val="000000"/>
        </w:rPr>
        <w:t>3、</w:t>
      </w:r>
      <w:r>
        <w:rPr>
          <w:rFonts w:ascii="Times New Roman" w:hAnsi="Times New Roman"/>
          <w:color w:val="000000"/>
        </w:rPr>
        <w:t>漏项与风险：投标人应对工程量清单进行认真核查。凡在工程量清单中未填报单价或价格的项目，招标人将视为此项目的费用已包含在工程量清单的其他项目的单价或合价中。中标后，招标人对此类未报价项目将不予另行支付。</w:t>
      </w:r>
    </w:p>
    <w:p w14:paraId="19DEF88C">
      <w:pPr>
        <w:spacing w:line="300" w:lineRule="auto"/>
        <w:ind w:firstLine="420" w:firstLineChars="200"/>
        <w:rPr>
          <w:rFonts w:ascii="Times New Roman" w:hAnsi="Times New Roman"/>
          <w:color w:val="000000"/>
        </w:rPr>
      </w:pPr>
      <w:r>
        <w:rPr>
          <w:rFonts w:hint="eastAsia" w:ascii="Times New Roman" w:hAnsi="Times New Roman"/>
          <w:color w:val="000000"/>
        </w:rPr>
        <w:t>4、</w:t>
      </w:r>
      <w:r>
        <w:rPr>
          <w:rFonts w:ascii="Times New Roman" w:hAnsi="Times New Roman"/>
          <w:color w:val="000000"/>
        </w:rPr>
        <w:t>报价形式：投标总报价应为人民币报价，单位为“元”。投标人须在《开标一览表》中填写投标总价（大写及小写），并在已标价的工程量清单文件中提供详细的单价分析。</w:t>
      </w:r>
    </w:p>
    <w:p w14:paraId="40915BB4">
      <w:pPr>
        <w:spacing w:line="300" w:lineRule="auto"/>
        <w:ind w:firstLine="420" w:firstLineChars="200"/>
        <w:rPr>
          <w:rFonts w:hint="eastAsia" w:ascii="Times New Roman" w:hAnsi="Times New Roman" w:eastAsia="等线"/>
          <w:color w:val="000000"/>
          <w:lang w:eastAsia="zh-CN"/>
        </w:rPr>
      </w:pPr>
      <w:r>
        <w:rPr>
          <w:rFonts w:hint="eastAsia" w:ascii="Times New Roman" w:hAnsi="Times New Roman"/>
          <w:color w:val="000000"/>
          <w:lang w:val="en-US" w:eastAsia="zh-CN"/>
        </w:rPr>
        <w:t>5、</w:t>
      </w:r>
      <w:r>
        <w:rPr>
          <w:rFonts w:ascii="Times New Roman" w:hAnsi="Times New Roman"/>
          <w:color w:val="000000"/>
        </w:rPr>
        <w:t>投标人报价应已充分考虑招标文件第四章所述全部材料质量要求所带来的成本影响，包括但不限于因采购符合要求的优质沥青材料、提供证明文件等所发生的费用。该部分费用应包含在相关清单子目的综合单价及总价中</w:t>
      </w:r>
      <w:r>
        <w:rPr>
          <w:rFonts w:hint="eastAsia" w:ascii="Times New Roman" w:hAnsi="Times New Roman"/>
          <w:color w:val="000000"/>
          <w:lang w:eastAsia="zh-CN"/>
        </w:rPr>
        <w:t>。</w:t>
      </w:r>
    </w:p>
    <w:p w14:paraId="03AB6AEE">
      <w:pPr>
        <w:spacing w:line="300" w:lineRule="auto"/>
        <w:ind w:firstLine="420" w:firstLineChars="200"/>
        <w:rPr>
          <w:rFonts w:ascii="Times New Roman" w:hAnsi="Times New Roman"/>
          <w:color w:val="000000"/>
        </w:rPr>
      </w:pPr>
      <w:r>
        <w:rPr>
          <w:rFonts w:hint="eastAsia" w:ascii="Times New Roman" w:hAnsi="Times New Roman"/>
          <w:color w:val="000000"/>
          <w:lang w:val="en-US" w:eastAsia="zh-CN"/>
        </w:rPr>
        <w:t>6</w:t>
      </w:r>
      <w:r>
        <w:rPr>
          <w:rFonts w:hint="eastAsia" w:ascii="Times New Roman" w:hAnsi="Times New Roman"/>
          <w:color w:val="000000"/>
        </w:rPr>
        <w:t>、</w:t>
      </w:r>
      <w:r>
        <w:rPr>
          <w:rFonts w:ascii="Times New Roman" w:hAnsi="Times New Roman"/>
          <w:color w:val="000000"/>
        </w:rPr>
        <w:t>暂列金额：工程量清单中列出的“暂列金额”为招标人可能用于工程变更等事项的备用金，投标人应按招标文件列出的金额直接计入投标总价，不得变动。</w:t>
      </w:r>
    </w:p>
    <w:p w14:paraId="577EE2FF">
      <w:pPr>
        <w:spacing w:line="300" w:lineRule="auto"/>
        <w:ind w:firstLine="420" w:firstLineChars="200"/>
        <w:rPr>
          <w:rFonts w:ascii="Times New Roman" w:hAnsi="Times New Roman"/>
          <w:color w:val="000000"/>
        </w:rPr>
      </w:pPr>
      <w:r>
        <w:rPr>
          <w:rFonts w:hint="eastAsia" w:ascii="Times New Roman" w:hAnsi="Times New Roman"/>
          <w:color w:val="000000"/>
          <w:lang w:val="en-US" w:eastAsia="zh-CN"/>
        </w:rPr>
        <w:t>7</w:t>
      </w:r>
      <w:r>
        <w:rPr>
          <w:rFonts w:hint="eastAsia" w:ascii="Times New Roman" w:hAnsi="Times New Roman"/>
          <w:color w:val="000000"/>
        </w:rPr>
        <w:t>、</w:t>
      </w:r>
      <w:r>
        <w:rPr>
          <w:rFonts w:ascii="Times New Roman" w:hAnsi="Times New Roman"/>
          <w:color w:val="000000"/>
        </w:rPr>
        <w:t>风险承担：投标人应充分考虑施工期间市场价格波动（除合同条款另有约定外）、冬季施工、春节假期、工期极端紧张等各类风险因素，并在报价中自行承担相关风险费用。招标人将认为投标人的报价已覆盖其应预见的全部风险。</w:t>
      </w:r>
    </w:p>
    <w:p w14:paraId="091BEB55">
      <w:pPr>
        <w:rPr>
          <w:rFonts w:ascii="Times New Roman" w:hAnsi="Times New Roman"/>
          <w:color w:val="000000"/>
        </w:rPr>
      </w:pPr>
      <w:r>
        <w:rPr>
          <w:rFonts w:ascii="Times New Roman" w:hAnsi="Times New Roman"/>
          <w:color w:val="000000"/>
        </w:rPr>
        <w:br w:type="page"/>
      </w:r>
    </w:p>
    <w:p w14:paraId="17C078A2">
      <w:pPr>
        <w:keepNext/>
        <w:keepLines/>
        <w:numPr>
          <w:ilvl w:val="0"/>
          <w:numId w:val="7"/>
        </w:numPr>
        <w:spacing w:before="100" w:line="400" w:lineRule="exact"/>
        <w:ind w:firstLine="400"/>
        <w:jc w:val="center"/>
        <w:outlineLvl w:val="1"/>
        <w:rPr>
          <w:rFonts w:ascii="Times New Roman" w:hAnsi="Times New Roman" w:eastAsia="黑体"/>
          <w:kern w:val="0"/>
          <w:sz w:val="28"/>
          <w:szCs w:val="20"/>
        </w:rPr>
      </w:pPr>
      <w:bookmarkStart w:id="144" w:name="_Toc16436"/>
      <w:r>
        <w:rPr>
          <w:rFonts w:hint="eastAsia" w:ascii="Times New Roman" w:hAnsi="Times New Roman" w:eastAsia="黑体"/>
          <w:kern w:val="0"/>
          <w:sz w:val="28"/>
          <w:szCs w:val="20"/>
        </w:rPr>
        <w:t>工程量清单</w:t>
      </w:r>
      <w:bookmarkEnd w:id="144"/>
    </w:p>
    <w:tbl>
      <w:tblPr>
        <w:tblStyle w:val="47"/>
        <w:tblpPr w:leftFromText="180" w:rightFromText="180" w:vertAnchor="text" w:horzAnchor="page" w:tblpX="1492" w:tblpY="53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067"/>
        <w:gridCol w:w="740"/>
        <w:gridCol w:w="733"/>
        <w:gridCol w:w="759"/>
        <w:gridCol w:w="1043"/>
        <w:gridCol w:w="1709"/>
      </w:tblGrid>
      <w:tr w14:paraId="6560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trPr>
        <w:tc>
          <w:tcPr>
            <w:tcW w:w="243" w:type="pct"/>
            <w:vAlign w:val="center"/>
          </w:tcPr>
          <w:p w14:paraId="46AC4F91">
            <w:pPr>
              <w:jc w:val="center"/>
              <w:rPr>
                <w:rFonts w:hint="eastAsia" w:cs="等线"/>
                <w:sz w:val="18"/>
                <w:szCs w:val="18"/>
              </w:rPr>
            </w:pPr>
            <w:r>
              <w:rPr>
                <w:rFonts w:hint="eastAsia" w:cs="等线"/>
                <w:sz w:val="18"/>
                <w:szCs w:val="18"/>
              </w:rPr>
              <w:t>序号</w:t>
            </w:r>
          </w:p>
        </w:tc>
        <w:tc>
          <w:tcPr>
            <w:tcW w:w="2137" w:type="pct"/>
            <w:vAlign w:val="center"/>
          </w:tcPr>
          <w:p w14:paraId="5375F138">
            <w:pPr>
              <w:tabs>
                <w:tab w:val="left" w:pos="522"/>
              </w:tabs>
              <w:jc w:val="center"/>
              <w:rPr>
                <w:rFonts w:hint="eastAsia" w:cs="等线"/>
                <w:sz w:val="18"/>
                <w:szCs w:val="18"/>
              </w:rPr>
            </w:pPr>
            <w:r>
              <w:rPr>
                <w:rFonts w:hint="eastAsia" w:cs="等线"/>
                <w:sz w:val="18"/>
                <w:szCs w:val="18"/>
              </w:rPr>
              <w:t>项目名称</w:t>
            </w:r>
          </w:p>
          <w:p w14:paraId="08232391">
            <w:pPr>
              <w:tabs>
                <w:tab w:val="left" w:pos="522"/>
              </w:tabs>
              <w:jc w:val="center"/>
              <w:rPr>
                <w:rFonts w:hint="eastAsia" w:cs="等线"/>
                <w:sz w:val="18"/>
                <w:szCs w:val="18"/>
              </w:rPr>
            </w:pPr>
            <w:r>
              <w:rPr>
                <w:rFonts w:hint="eastAsia" w:cs="等线"/>
                <w:sz w:val="18"/>
                <w:szCs w:val="18"/>
              </w:rPr>
              <w:t>技术要求</w:t>
            </w:r>
          </w:p>
        </w:tc>
        <w:tc>
          <w:tcPr>
            <w:tcW w:w="389" w:type="pct"/>
            <w:vAlign w:val="center"/>
          </w:tcPr>
          <w:p w14:paraId="70AA46F4">
            <w:pPr>
              <w:jc w:val="center"/>
              <w:rPr>
                <w:rFonts w:hint="eastAsia" w:cs="等线"/>
                <w:sz w:val="18"/>
                <w:szCs w:val="18"/>
              </w:rPr>
            </w:pPr>
            <w:r>
              <w:rPr>
                <w:rFonts w:hint="eastAsia" w:cs="等线"/>
                <w:sz w:val="18"/>
                <w:szCs w:val="18"/>
              </w:rPr>
              <w:t>单位</w:t>
            </w:r>
          </w:p>
        </w:tc>
        <w:tc>
          <w:tcPr>
            <w:tcW w:w="385" w:type="pct"/>
            <w:vAlign w:val="center"/>
          </w:tcPr>
          <w:p w14:paraId="30C5A4B4">
            <w:pPr>
              <w:tabs>
                <w:tab w:val="left" w:pos="522"/>
              </w:tabs>
              <w:jc w:val="center"/>
              <w:rPr>
                <w:rFonts w:hint="eastAsia" w:cs="等线"/>
                <w:sz w:val="18"/>
                <w:szCs w:val="18"/>
              </w:rPr>
            </w:pPr>
            <w:r>
              <w:rPr>
                <w:rFonts w:hint="eastAsia" w:cs="等线"/>
                <w:sz w:val="18"/>
                <w:szCs w:val="18"/>
              </w:rPr>
              <w:t>数量</w:t>
            </w:r>
          </w:p>
        </w:tc>
        <w:tc>
          <w:tcPr>
            <w:tcW w:w="399" w:type="pct"/>
            <w:vAlign w:val="center"/>
          </w:tcPr>
          <w:p w14:paraId="05651B68">
            <w:pPr>
              <w:tabs>
                <w:tab w:val="left" w:pos="522"/>
              </w:tabs>
              <w:jc w:val="center"/>
              <w:rPr>
                <w:rFonts w:hint="eastAsia" w:cs="等线"/>
                <w:sz w:val="18"/>
                <w:szCs w:val="18"/>
              </w:rPr>
            </w:pPr>
            <w:r>
              <w:rPr>
                <w:rFonts w:hint="eastAsia" w:cs="等线"/>
                <w:sz w:val="18"/>
                <w:szCs w:val="18"/>
              </w:rPr>
              <w:t>单价</w:t>
            </w:r>
          </w:p>
        </w:tc>
        <w:tc>
          <w:tcPr>
            <w:tcW w:w="548" w:type="pct"/>
            <w:vAlign w:val="center"/>
          </w:tcPr>
          <w:p w14:paraId="22BE7884">
            <w:pPr>
              <w:tabs>
                <w:tab w:val="left" w:pos="522"/>
              </w:tabs>
              <w:jc w:val="center"/>
              <w:rPr>
                <w:rFonts w:hint="eastAsia" w:cs="等线"/>
                <w:sz w:val="18"/>
                <w:szCs w:val="18"/>
              </w:rPr>
            </w:pPr>
            <w:r>
              <w:rPr>
                <w:rFonts w:hint="eastAsia" w:cs="等线"/>
                <w:sz w:val="18"/>
                <w:szCs w:val="18"/>
              </w:rPr>
              <w:t>总价</w:t>
            </w:r>
          </w:p>
        </w:tc>
        <w:tc>
          <w:tcPr>
            <w:tcW w:w="898" w:type="pct"/>
            <w:vAlign w:val="center"/>
          </w:tcPr>
          <w:p w14:paraId="13D16D96">
            <w:pPr>
              <w:jc w:val="center"/>
              <w:rPr>
                <w:rFonts w:hint="eastAsia" w:cs="等线"/>
                <w:sz w:val="18"/>
                <w:szCs w:val="18"/>
              </w:rPr>
            </w:pPr>
            <w:r>
              <w:rPr>
                <w:rFonts w:hint="eastAsia" w:cs="等线"/>
                <w:sz w:val="18"/>
                <w:szCs w:val="18"/>
              </w:rPr>
              <w:t>备注</w:t>
            </w:r>
          </w:p>
        </w:tc>
      </w:tr>
      <w:tr w14:paraId="7926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3AC85BCC">
            <w:pPr>
              <w:jc w:val="center"/>
              <w:rPr>
                <w:rFonts w:hint="eastAsia" w:cs="等线"/>
                <w:sz w:val="18"/>
                <w:szCs w:val="18"/>
              </w:rPr>
            </w:pPr>
            <w:r>
              <w:rPr>
                <w:rFonts w:hint="eastAsia" w:cs="等线"/>
                <w:sz w:val="18"/>
                <w:szCs w:val="18"/>
              </w:rPr>
              <w:t>1</w:t>
            </w:r>
          </w:p>
        </w:tc>
        <w:tc>
          <w:tcPr>
            <w:tcW w:w="2137" w:type="pct"/>
            <w:vAlign w:val="center"/>
          </w:tcPr>
          <w:p w14:paraId="6CA95663">
            <w:pPr>
              <w:jc w:val="left"/>
              <w:rPr>
                <w:rFonts w:hint="eastAsia" w:cs="等线"/>
                <w:sz w:val="18"/>
                <w:szCs w:val="18"/>
              </w:rPr>
            </w:pPr>
            <w:r>
              <w:rPr>
                <w:rFonts w:hint="eastAsia" w:cs="等线"/>
                <w:sz w:val="18"/>
                <w:szCs w:val="18"/>
              </w:rPr>
              <w:t>铣刨、清除沥青层</w:t>
            </w:r>
          </w:p>
          <w:p w14:paraId="7CEA13B1">
            <w:pPr>
              <w:jc w:val="left"/>
              <w:rPr>
                <w:rFonts w:hint="eastAsia" w:cs="等线"/>
                <w:sz w:val="18"/>
                <w:szCs w:val="18"/>
              </w:rPr>
            </w:pPr>
            <w:r>
              <w:rPr>
                <w:rFonts w:hint="eastAsia" w:cs="等线"/>
                <w:sz w:val="18"/>
                <w:szCs w:val="18"/>
              </w:rPr>
              <w:t>1.原沥青层14cm，铣刨深度：铣刨6cm</w:t>
            </w:r>
          </w:p>
        </w:tc>
        <w:tc>
          <w:tcPr>
            <w:tcW w:w="389" w:type="pct"/>
            <w:vAlign w:val="center"/>
          </w:tcPr>
          <w:p w14:paraId="0B353C0E">
            <w:pPr>
              <w:jc w:val="center"/>
              <w:rPr>
                <w:rFonts w:hint="eastAsia" w:cs="等线"/>
                <w:sz w:val="18"/>
                <w:szCs w:val="18"/>
              </w:rPr>
            </w:pPr>
            <w:r>
              <w:rPr>
                <w:rFonts w:hint="eastAsia" w:cs="等线"/>
                <w:sz w:val="18"/>
                <w:szCs w:val="18"/>
              </w:rPr>
              <w:t>m³</w:t>
            </w:r>
          </w:p>
        </w:tc>
        <w:tc>
          <w:tcPr>
            <w:tcW w:w="385" w:type="pct"/>
            <w:vAlign w:val="center"/>
          </w:tcPr>
          <w:p w14:paraId="269CAD47">
            <w:pPr>
              <w:jc w:val="center"/>
              <w:rPr>
                <w:rFonts w:hint="eastAsia" w:cs="等线"/>
                <w:sz w:val="18"/>
                <w:szCs w:val="18"/>
              </w:rPr>
            </w:pPr>
            <w:r>
              <w:rPr>
                <w:rFonts w:hint="eastAsia" w:cs="等线"/>
                <w:sz w:val="18"/>
                <w:szCs w:val="18"/>
              </w:rPr>
              <w:t>100</w:t>
            </w:r>
          </w:p>
        </w:tc>
        <w:tc>
          <w:tcPr>
            <w:tcW w:w="399" w:type="pct"/>
            <w:vAlign w:val="center"/>
          </w:tcPr>
          <w:p w14:paraId="0C48467B">
            <w:pPr>
              <w:jc w:val="center"/>
              <w:rPr>
                <w:rFonts w:hint="eastAsia" w:cs="等线"/>
                <w:sz w:val="18"/>
                <w:szCs w:val="18"/>
              </w:rPr>
            </w:pPr>
          </w:p>
        </w:tc>
        <w:tc>
          <w:tcPr>
            <w:tcW w:w="548" w:type="pct"/>
            <w:vAlign w:val="center"/>
          </w:tcPr>
          <w:p w14:paraId="692E0C84">
            <w:pPr>
              <w:jc w:val="center"/>
              <w:rPr>
                <w:rFonts w:hint="eastAsia" w:cs="等线"/>
                <w:sz w:val="18"/>
                <w:szCs w:val="18"/>
              </w:rPr>
            </w:pPr>
          </w:p>
        </w:tc>
        <w:tc>
          <w:tcPr>
            <w:tcW w:w="898" w:type="pct"/>
            <w:vAlign w:val="center"/>
          </w:tcPr>
          <w:p w14:paraId="6AA94954">
            <w:pPr>
              <w:jc w:val="center"/>
              <w:rPr>
                <w:rFonts w:hint="eastAsia" w:cs="等线"/>
                <w:sz w:val="18"/>
                <w:szCs w:val="18"/>
              </w:rPr>
            </w:pPr>
            <w:r>
              <w:rPr>
                <w:rFonts w:hint="eastAsia" w:cs="等线"/>
                <w:sz w:val="18"/>
                <w:szCs w:val="18"/>
              </w:rPr>
              <w:t>乙方负责铣刨装车，甲方负责运输。</w:t>
            </w:r>
          </w:p>
        </w:tc>
      </w:tr>
      <w:tr w14:paraId="03DA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D65ECCF">
            <w:pPr>
              <w:jc w:val="center"/>
              <w:rPr>
                <w:rFonts w:hint="eastAsia" w:cs="等线"/>
                <w:sz w:val="18"/>
                <w:szCs w:val="18"/>
              </w:rPr>
            </w:pPr>
            <w:r>
              <w:rPr>
                <w:rFonts w:hint="eastAsia" w:cs="等线"/>
                <w:sz w:val="18"/>
                <w:szCs w:val="18"/>
              </w:rPr>
              <w:t>2</w:t>
            </w:r>
          </w:p>
        </w:tc>
        <w:tc>
          <w:tcPr>
            <w:tcW w:w="2137" w:type="pct"/>
            <w:vAlign w:val="center"/>
          </w:tcPr>
          <w:p w14:paraId="0AA801B0">
            <w:pPr>
              <w:jc w:val="left"/>
              <w:rPr>
                <w:rFonts w:hint="eastAsia" w:cs="等线"/>
                <w:sz w:val="18"/>
                <w:szCs w:val="18"/>
              </w:rPr>
            </w:pPr>
            <w:r>
              <w:rPr>
                <w:rFonts w:hint="eastAsia" w:cs="等线"/>
                <w:sz w:val="18"/>
                <w:szCs w:val="18"/>
              </w:rPr>
              <w:t>水泥稳定碎石基层18cm+18cm分层铺设</w:t>
            </w:r>
          </w:p>
          <w:p w14:paraId="581364A6">
            <w:pPr>
              <w:jc w:val="left"/>
              <w:rPr>
                <w:rFonts w:hint="eastAsia" w:cs="等线"/>
                <w:sz w:val="18"/>
                <w:szCs w:val="18"/>
              </w:rPr>
            </w:pPr>
            <w:r>
              <w:rPr>
                <w:rFonts w:hint="eastAsia" w:cs="等线"/>
                <w:sz w:val="18"/>
                <w:szCs w:val="18"/>
              </w:rPr>
              <w:t>1.水稳料（甲方提供）</w:t>
            </w:r>
          </w:p>
          <w:p w14:paraId="30EB5B2E">
            <w:pPr>
              <w:jc w:val="left"/>
              <w:rPr>
                <w:rFonts w:hint="eastAsia" w:cs="等线"/>
                <w:sz w:val="18"/>
                <w:szCs w:val="18"/>
              </w:rPr>
            </w:pPr>
            <w:r>
              <w:rPr>
                <w:rFonts w:hint="eastAsia" w:cs="等线"/>
                <w:sz w:val="18"/>
                <w:szCs w:val="18"/>
              </w:rPr>
              <w:t>2.厚度36cm;</w:t>
            </w:r>
          </w:p>
          <w:p w14:paraId="59F47F53">
            <w:pPr>
              <w:jc w:val="left"/>
              <w:rPr>
                <w:rFonts w:hint="eastAsia" w:cs="等线"/>
                <w:sz w:val="18"/>
                <w:szCs w:val="18"/>
              </w:rPr>
            </w:pPr>
            <w:r>
              <w:rPr>
                <w:rFonts w:hint="eastAsia" w:cs="等线"/>
                <w:sz w:val="18"/>
                <w:szCs w:val="18"/>
              </w:rPr>
              <w:t>3.压实度≥97%;</w:t>
            </w:r>
          </w:p>
          <w:p w14:paraId="28989BBB">
            <w:pPr>
              <w:jc w:val="left"/>
              <w:rPr>
                <w:rFonts w:hint="eastAsia" w:cs="等线"/>
                <w:sz w:val="18"/>
                <w:szCs w:val="18"/>
              </w:rPr>
            </w:pPr>
            <w:r>
              <w:rPr>
                <w:rFonts w:hint="eastAsia" w:cs="等线"/>
                <w:sz w:val="18"/>
                <w:szCs w:val="18"/>
              </w:rPr>
              <w:t>4.满铺玻纤格栅一层(拉力100KN)</w:t>
            </w:r>
          </w:p>
          <w:p w14:paraId="402FBD93">
            <w:pPr>
              <w:jc w:val="left"/>
              <w:rPr>
                <w:rFonts w:hint="eastAsia" w:cs="等线"/>
                <w:sz w:val="18"/>
                <w:szCs w:val="18"/>
              </w:rPr>
            </w:pPr>
            <w:r>
              <w:rPr>
                <w:rFonts w:hint="eastAsia" w:cs="等线"/>
                <w:sz w:val="18"/>
                <w:szCs w:val="18"/>
              </w:rPr>
              <w:t>5.其技术要求应符合《公路路面基层施工技术细则》(JTG/T F20一2015）相关规定；</w:t>
            </w:r>
          </w:p>
          <w:p w14:paraId="22451555">
            <w:pPr>
              <w:jc w:val="left"/>
              <w:rPr>
                <w:rFonts w:hint="eastAsia" w:cs="等线"/>
                <w:sz w:val="18"/>
                <w:szCs w:val="18"/>
              </w:rPr>
            </w:pPr>
            <w:r>
              <w:rPr>
                <w:rFonts w:hint="eastAsia" w:cs="等线"/>
                <w:sz w:val="18"/>
                <w:szCs w:val="18"/>
              </w:rPr>
              <w:t>6.含</w:t>
            </w:r>
            <w:r>
              <w:rPr>
                <w:rFonts w:hint="eastAsia" w:cs="等线"/>
                <w:sz w:val="18"/>
                <w:szCs w:val="18"/>
                <w:lang w:val="en-US" w:eastAsia="zh-CN"/>
              </w:rPr>
              <w:t>第三方</w:t>
            </w:r>
            <w:r>
              <w:rPr>
                <w:rFonts w:hint="eastAsia" w:cs="等线"/>
                <w:sz w:val="18"/>
                <w:szCs w:val="18"/>
              </w:rPr>
              <w:t>检验试验费等</w:t>
            </w:r>
          </w:p>
        </w:tc>
        <w:tc>
          <w:tcPr>
            <w:tcW w:w="389" w:type="pct"/>
            <w:vAlign w:val="center"/>
          </w:tcPr>
          <w:p w14:paraId="37BAECF5">
            <w:pPr>
              <w:jc w:val="center"/>
              <w:rPr>
                <w:rFonts w:hint="eastAsia" w:cs="等线"/>
                <w:sz w:val="18"/>
                <w:szCs w:val="18"/>
              </w:rPr>
            </w:pPr>
            <w:r>
              <w:rPr>
                <w:rFonts w:hint="eastAsia" w:cs="等线"/>
                <w:sz w:val="18"/>
                <w:szCs w:val="18"/>
              </w:rPr>
              <w:t>㎡</w:t>
            </w:r>
          </w:p>
        </w:tc>
        <w:tc>
          <w:tcPr>
            <w:tcW w:w="385" w:type="pct"/>
            <w:vAlign w:val="center"/>
          </w:tcPr>
          <w:p w14:paraId="5A096061">
            <w:pPr>
              <w:jc w:val="center"/>
              <w:rPr>
                <w:rFonts w:hint="eastAsia" w:cs="等线"/>
                <w:sz w:val="18"/>
                <w:szCs w:val="18"/>
              </w:rPr>
            </w:pPr>
            <w:r>
              <w:rPr>
                <w:rFonts w:hint="eastAsia" w:cs="等线"/>
                <w:sz w:val="18"/>
                <w:szCs w:val="18"/>
              </w:rPr>
              <w:t>5400</w:t>
            </w:r>
          </w:p>
        </w:tc>
        <w:tc>
          <w:tcPr>
            <w:tcW w:w="399" w:type="pct"/>
            <w:vAlign w:val="center"/>
          </w:tcPr>
          <w:p w14:paraId="4E443813">
            <w:pPr>
              <w:jc w:val="center"/>
              <w:rPr>
                <w:rFonts w:hint="eastAsia" w:cs="等线"/>
                <w:sz w:val="18"/>
                <w:szCs w:val="18"/>
              </w:rPr>
            </w:pPr>
          </w:p>
        </w:tc>
        <w:tc>
          <w:tcPr>
            <w:tcW w:w="548" w:type="pct"/>
            <w:vAlign w:val="center"/>
          </w:tcPr>
          <w:p w14:paraId="07448466">
            <w:pPr>
              <w:jc w:val="center"/>
              <w:rPr>
                <w:rFonts w:hint="eastAsia" w:cs="等线"/>
                <w:sz w:val="18"/>
                <w:szCs w:val="18"/>
              </w:rPr>
            </w:pPr>
          </w:p>
        </w:tc>
        <w:tc>
          <w:tcPr>
            <w:tcW w:w="898" w:type="pct"/>
            <w:vAlign w:val="center"/>
          </w:tcPr>
          <w:p w14:paraId="3993C77B">
            <w:pPr>
              <w:jc w:val="center"/>
              <w:rPr>
                <w:rFonts w:hint="eastAsia" w:cs="等线"/>
                <w:sz w:val="18"/>
                <w:szCs w:val="18"/>
              </w:rPr>
            </w:pPr>
            <w:r>
              <w:rPr>
                <w:rFonts w:hint="eastAsia" w:cs="等线"/>
                <w:sz w:val="18"/>
                <w:szCs w:val="18"/>
              </w:rPr>
              <w:t>甲方负责提供水稳料，并送到施工现场。乙方负责摊铺机、人工、压路机、玻纤格栅、保温覆盖（</w:t>
            </w:r>
            <w:r>
              <w:rPr>
                <w:rFonts w:hint="eastAsia" w:cs="等线"/>
                <w:sz w:val="18"/>
                <w:szCs w:val="18"/>
                <w:lang w:val="en-US" w:eastAsia="zh-CN"/>
              </w:rPr>
              <w:t>毛毡布</w:t>
            </w:r>
            <w:r>
              <w:rPr>
                <w:rFonts w:hint="eastAsia" w:cs="等线"/>
                <w:sz w:val="18"/>
                <w:szCs w:val="18"/>
              </w:rPr>
              <w:t>规格</w:t>
            </w:r>
            <w:r>
              <w:rPr>
                <w:rFonts w:hint="eastAsia" w:cs="等线"/>
                <w:sz w:val="18"/>
                <w:szCs w:val="18"/>
                <w:lang w:val="en-US" w:eastAsia="zh-CN"/>
              </w:rPr>
              <w:t>每平米</w:t>
            </w:r>
            <w:r>
              <w:rPr>
                <w:rFonts w:hint="eastAsia" w:cs="等线"/>
                <w:sz w:val="18"/>
                <w:szCs w:val="18"/>
              </w:rPr>
              <w:t>500g</w:t>
            </w:r>
            <w:r>
              <w:rPr>
                <w:rFonts w:hint="eastAsia" w:cs="等线"/>
                <w:sz w:val="18"/>
                <w:szCs w:val="18"/>
                <w:lang w:val="en-US" w:eastAsia="zh-CN"/>
              </w:rPr>
              <w:t>克重</w:t>
            </w:r>
            <w:r>
              <w:rPr>
                <w:rFonts w:hint="eastAsia" w:cs="等线"/>
                <w:sz w:val="18"/>
                <w:szCs w:val="18"/>
              </w:rPr>
              <w:t>）、</w:t>
            </w:r>
            <w:r>
              <w:rPr>
                <w:rFonts w:hint="eastAsia" w:cs="等线"/>
                <w:sz w:val="18"/>
                <w:szCs w:val="18"/>
                <w:lang w:val="en-US" w:eastAsia="zh-CN"/>
              </w:rPr>
              <w:t>第三方</w:t>
            </w:r>
            <w:r>
              <w:rPr>
                <w:rFonts w:hint="eastAsia" w:cs="等线"/>
                <w:sz w:val="18"/>
                <w:szCs w:val="18"/>
              </w:rPr>
              <w:t>质量检验等工作。</w:t>
            </w:r>
          </w:p>
        </w:tc>
      </w:tr>
      <w:tr w14:paraId="1AAC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6593BEF">
            <w:pPr>
              <w:jc w:val="center"/>
              <w:rPr>
                <w:rFonts w:hint="eastAsia" w:cs="等线"/>
                <w:sz w:val="18"/>
                <w:szCs w:val="18"/>
              </w:rPr>
            </w:pPr>
            <w:r>
              <w:rPr>
                <w:rFonts w:hint="eastAsia" w:cs="等线"/>
                <w:sz w:val="18"/>
                <w:szCs w:val="18"/>
              </w:rPr>
              <w:t>3</w:t>
            </w:r>
          </w:p>
        </w:tc>
        <w:tc>
          <w:tcPr>
            <w:tcW w:w="2137" w:type="pct"/>
            <w:vAlign w:val="center"/>
          </w:tcPr>
          <w:p w14:paraId="7335AF1F">
            <w:pPr>
              <w:jc w:val="left"/>
              <w:rPr>
                <w:rFonts w:hint="eastAsia" w:cs="等线"/>
                <w:sz w:val="18"/>
                <w:szCs w:val="18"/>
              </w:rPr>
            </w:pPr>
            <w:r>
              <w:rPr>
                <w:rFonts w:hint="eastAsia" w:cs="等线"/>
                <w:sz w:val="18"/>
                <w:szCs w:val="18"/>
              </w:rPr>
              <w:t>喷洒透层乳化沥青、封层乳化沥青</w:t>
            </w:r>
          </w:p>
          <w:p w14:paraId="28D52E66">
            <w:pPr>
              <w:jc w:val="left"/>
              <w:rPr>
                <w:rFonts w:hint="eastAsia" w:cs="等线"/>
                <w:sz w:val="18"/>
                <w:szCs w:val="18"/>
              </w:rPr>
            </w:pPr>
            <w:r>
              <w:rPr>
                <w:rFonts w:hint="eastAsia" w:cs="等线"/>
                <w:sz w:val="18"/>
                <w:szCs w:val="18"/>
              </w:rPr>
              <w:t>1. 型号：高渗透型乳化沥青</w:t>
            </w:r>
          </w:p>
          <w:p w14:paraId="336CECFF">
            <w:pPr>
              <w:jc w:val="left"/>
              <w:rPr>
                <w:rFonts w:hint="eastAsia" w:cs="等线"/>
                <w:sz w:val="18"/>
                <w:szCs w:val="18"/>
              </w:rPr>
            </w:pPr>
            <w:r>
              <w:rPr>
                <w:rFonts w:hint="eastAsia" w:cs="等线"/>
                <w:sz w:val="18"/>
                <w:szCs w:val="18"/>
              </w:rPr>
              <w:t>2. 用量：高粘/高渗透型：0.8-1L/m²</w:t>
            </w:r>
          </w:p>
          <w:p w14:paraId="134EFC62">
            <w:pPr>
              <w:jc w:val="left"/>
              <w:rPr>
                <w:rFonts w:hint="eastAsia" w:cs="等线"/>
                <w:sz w:val="18"/>
                <w:szCs w:val="18"/>
              </w:rPr>
            </w:pPr>
            <w:r>
              <w:rPr>
                <w:rFonts w:hint="eastAsia" w:cs="等线"/>
                <w:sz w:val="18"/>
                <w:szCs w:val="18"/>
              </w:rPr>
              <w:t>封层：</w:t>
            </w:r>
          </w:p>
        </w:tc>
        <w:tc>
          <w:tcPr>
            <w:tcW w:w="389" w:type="pct"/>
            <w:vAlign w:val="center"/>
          </w:tcPr>
          <w:p w14:paraId="7AC3252D">
            <w:pPr>
              <w:jc w:val="center"/>
              <w:rPr>
                <w:rFonts w:hint="eastAsia" w:cs="等线"/>
                <w:sz w:val="18"/>
                <w:szCs w:val="18"/>
              </w:rPr>
            </w:pPr>
            <w:r>
              <w:rPr>
                <w:rFonts w:hint="eastAsia" w:cs="等线"/>
                <w:sz w:val="18"/>
                <w:szCs w:val="18"/>
              </w:rPr>
              <w:t>㎡</w:t>
            </w:r>
          </w:p>
        </w:tc>
        <w:tc>
          <w:tcPr>
            <w:tcW w:w="385" w:type="pct"/>
            <w:vAlign w:val="center"/>
          </w:tcPr>
          <w:p w14:paraId="3A558A09">
            <w:pPr>
              <w:jc w:val="center"/>
              <w:rPr>
                <w:rFonts w:hint="eastAsia" w:cs="等线"/>
                <w:sz w:val="18"/>
                <w:szCs w:val="18"/>
              </w:rPr>
            </w:pPr>
            <w:r>
              <w:rPr>
                <w:rFonts w:hint="eastAsia" w:cs="等线"/>
                <w:sz w:val="18"/>
                <w:szCs w:val="18"/>
              </w:rPr>
              <w:t>6200</w:t>
            </w:r>
          </w:p>
        </w:tc>
        <w:tc>
          <w:tcPr>
            <w:tcW w:w="399" w:type="pct"/>
            <w:vAlign w:val="center"/>
          </w:tcPr>
          <w:p w14:paraId="5173D75E">
            <w:pPr>
              <w:jc w:val="center"/>
              <w:rPr>
                <w:rFonts w:hint="eastAsia" w:cs="等线"/>
                <w:sz w:val="18"/>
                <w:szCs w:val="18"/>
              </w:rPr>
            </w:pPr>
          </w:p>
        </w:tc>
        <w:tc>
          <w:tcPr>
            <w:tcW w:w="548" w:type="pct"/>
            <w:vAlign w:val="center"/>
          </w:tcPr>
          <w:p w14:paraId="11E4294A">
            <w:pPr>
              <w:jc w:val="center"/>
              <w:rPr>
                <w:rFonts w:hint="eastAsia" w:cs="等线"/>
                <w:sz w:val="18"/>
                <w:szCs w:val="18"/>
              </w:rPr>
            </w:pPr>
          </w:p>
        </w:tc>
        <w:tc>
          <w:tcPr>
            <w:tcW w:w="898" w:type="pct"/>
            <w:vAlign w:val="center"/>
          </w:tcPr>
          <w:p w14:paraId="2E4E0FAF">
            <w:pPr>
              <w:jc w:val="center"/>
              <w:rPr>
                <w:rFonts w:hint="eastAsia" w:cs="等线"/>
                <w:sz w:val="18"/>
                <w:szCs w:val="18"/>
              </w:rPr>
            </w:pPr>
            <w:r>
              <w:rPr>
                <w:rFonts w:hint="eastAsia" w:cs="等线"/>
                <w:sz w:val="18"/>
                <w:szCs w:val="18"/>
              </w:rPr>
              <w:t>运输、施工、措施费综合考虑</w:t>
            </w:r>
          </w:p>
        </w:tc>
      </w:tr>
      <w:tr w14:paraId="55EE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7AE6AA72">
            <w:pPr>
              <w:jc w:val="center"/>
              <w:rPr>
                <w:rFonts w:hint="eastAsia" w:cs="等线"/>
                <w:sz w:val="18"/>
                <w:szCs w:val="18"/>
              </w:rPr>
            </w:pPr>
            <w:r>
              <w:rPr>
                <w:rFonts w:hint="eastAsia" w:cs="等线"/>
                <w:sz w:val="18"/>
                <w:szCs w:val="18"/>
              </w:rPr>
              <w:t>4</w:t>
            </w:r>
          </w:p>
        </w:tc>
        <w:tc>
          <w:tcPr>
            <w:tcW w:w="2137" w:type="pct"/>
            <w:vAlign w:val="center"/>
          </w:tcPr>
          <w:p w14:paraId="13334924">
            <w:pPr>
              <w:jc w:val="left"/>
              <w:rPr>
                <w:rFonts w:hint="eastAsia" w:cs="等线"/>
                <w:sz w:val="18"/>
                <w:szCs w:val="18"/>
              </w:rPr>
            </w:pPr>
            <w:r>
              <w:rPr>
                <w:rFonts w:hint="eastAsia" w:cs="等线"/>
                <w:sz w:val="18"/>
                <w:szCs w:val="18"/>
              </w:rPr>
              <w:t>摊铺6cmSBS AC-20粗粒式沥青砼</w:t>
            </w:r>
          </w:p>
          <w:p w14:paraId="2BEE80B3">
            <w:pPr>
              <w:jc w:val="left"/>
              <w:rPr>
                <w:rFonts w:hint="eastAsia" w:cs="等线"/>
                <w:sz w:val="18"/>
                <w:szCs w:val="18"/>
              </w:rPr>
            </w:pPr>
            <w:r>
              <w:rPr>
                <w:rFonts w:hint="eastAsia" w:cs="等线"/>
                <w:sz w:val="18"/>
                <w:szCs w:val="18"/>
              </w:rPr>
              <w:t>1.材质：sbs改性沥青；AC-20中粒式沥青混凝土；</w:t>
            </w:r>
          </w:p>
          <w:p w14:paraId="73D9AE53">
            <w:pPr>
              <w:jc w:val="left"/>
              <w:rPr>
                <w:rFonts w:hint="eastAsia" w:cs="等线"/>
                <w:sz w:val="18"/>
                <w:szCs w:val="18"/>
              </w:rPr>
            </w:pPr>
            <w:r>
              <w:rPr>
                <w:rFonts w:hint="eastAsia" w:cs="等线"/>
                <w:sz w:val="18"/>
                <w:szCs w:val="18"/>
              </w:rPr>
              <w:t>2.设计厚度：6cm；</w:t>
            </w:r>
          </w:p>
          <w:p w14:paraId="2DED06B9">
            <w:pPr>
              <w:jc w:val="left"/>
              <w:rPr>
                <w:rFonts w:hint="eastAsia" w:cs="等线"/>
                <w:sz w:val="18"/>
                <w:szCs w:val="18"/>
              </w:rPr>
            </w:pPr>
            <w:r>
              <w:rPr>
                <w:rFonts w:hint="eastAsia" w:cs="等线"/>
                <w:sz w:val="18"/>
                <w:szCs w:val="18"/>
              </w:rPr>
              <w:t>3.级配：AC-20型中粒式密级配沥青混凝土。其技术要求应严格控制在《公路沥青路面施工技术规范》（JTG F40）规定的AC-20范围内。</w:t>
            </w:r>
          </w:p>
          <w:p w14:paraId="777E9453">
            <w:pPr>
              <w:jc w:val="left"/>
              <w:rPr>
                <w:rFonts w:hint="eastAsia" w:cs="等线"/>
                <w:sz w:val="18"/>
                <w:szCs w:val="18"/>
              </w:rPr>
            </w:pPr>
            <w:r>
              <w:rPr>
                <w:rFonts w:hint="eastAsia" w:cs="等线"/>
                <w:sz w:val="18"/>
                <w:szCs w:val="18"/>
              </w:rPr>
              <w:t>4.含</w:t>
            </w:r>
            <w:r>
              <w:rPr>
                <w:rFonts w:hint="eastAsia" w:cs="等线"/>
                <w:sz w:val="18"/>
                <w:szCs w:val="18"/>
                <w:lang w:val="en-US" w:eastAsia="zh-CN"/>
              </w:rPr>
              <w:t>第三方</w:t>
            </w:r>
            <w:r>
              <w:rPr>
                <w:rFonts w:hint="eastAsia" w:cs="等线"/>
                <w:sz w:val="18"/>
                <w:szCs w:val="18"/>
              </w:rPr>
              <w:t>检验试验费等</w:t>
            </w:r>
          </w:p>
        </w:tc>
        <w:tc>
          <w:tcPr>
            <w:tcW w:w="389" w:type="pct"/>
            <w:vAlign w:val="center"/>
          </w:tcPr>
          <w:p w14:paraId="4AACC590">
            <w:pPr>
              <w:jc w:val="center"/>
              <w:rPr>
                <w:rFonts w:hint="eastAsia" w:cs="等线"/>
                <w:sz w:val="18"/>
                <w:szCs w:val="18"/>
              </w:rPr>
            </w:pPr>
            <w:r>
              <w:rPr>
                <w:rFonts w:hint="eastAsia" w:cs="等线"/>
                <w:sz w:val="18"/>
                <w:szCs w:val="18"/>
              </w:rPr>
              <w:t>㎡</w:t>
            </w:r>
          </w:p>
        </w:tc>
        <w:tc>
          <w:tcPr>
            <w:tcW w:w="385" w:type="pct"/>
            <w:vAlign w:val="center"/>
          </w:tcPr>
          <w:p w14:paraId="5D25693A">
            <w:pPr>
              <w:jc w:val="center"/>
              <w:rPr>
                <w:rFonts w:hint="eastAsia" w:cs="等线"/>
                <w:sz w:val="18"/>
                <w:szCs w:val="18"/>
              </w:rPr>
            </w:pPr>
            <w:r>
              <w:rPr>
                <w:rFonts w:hint="eastAsia" w:cs="等线"/>
                <w:sz w:val="18"/>
                <w:szCs w:val="18"/>
              </w:rPr>
              <w:t>6200</w:t>
            </w:r>
          </w:p>
        </w:tc>
        <w:tc>
          <w:tcPr>
            <w:tcW w:w="399" w:type="pct"/>
            <w:vAlign w:val="center"/>
          </w:tcPr>
          <w:p w14:paraId="22E9BC3C">
            <w:pPr>
              <w:jc w:val="center"/>
              <w:rPr>
                <w:rFonts w:hint="eastAsia" w:cs="等线"/>
                <w:sz w:val="18"/>
                <w:szCs w:val="18"/>
              </w:rPr>
            </w:pPr>
          </w:p>
        </w:tc>
        <w:tc>
          <w:tcPr>
            <w:tcW w:w="548" w:type="pct"/>
            <w:vAlign w:val="center"/>
          </w:tcPr>
          <w:p w14:paraId="63DBA96F">
            <w:pPr>
              <w:jc w:val="center"/>
              <w:rPr>
                <w:rFonts w:hint="eastAsia" w:cs="等线"/>
                <w:sz w:val="18"/>
                <w:szCs w:val="18"/>
              </w:rPr>
            </w:pPr>
          </w:p>
        </w:tc>
        <w:tc>
          <w:tcPr>
            <w:tcW w:w="898" w:type="pct"/>
            <w:vAlign w:val="center"/>
          </w:tcPr>
          <w:p w14:paraId="7E1BFC07">
            <w:pPr>
              <w:jc w:val="center"/>
              <w:rPr>
                <w:rFonts w:hint="eastAsia" w:cs="等线"/>
                <w:sz w:val="18"/>
                <w:szCs w:val="18"/>
              </w:rPr>
            </w:pPr>
            <w:r>
              <w:rPr>
                <w:rFonts w:hint="eastAsia" w:cs="等线"/>
                <w:sz w:val="18"/>
                <w:szCs w:val="18"/>
              </w:rPr>
              <w:t>运输、施工、措施费综合考虑</w:t>
            </w:r>
          </w:p>
        </w:tc>
      </w:tr>
      <w:tr w14:paraId="39C7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23FA8CB0">
            <w:pPr>
              <w:jc w:val="center"/>
              <w:rPr>
                <w:rFonts w:hint="eastAsia" w:cs="等线"/>
                <w:sz w:val="18"/>
                <w:szCs w:val="18"/>
              </w:rPr>
            </w:pPr>
            <w:r>
              <w:rPr>
                <w:rFonts w:hint="eastAsia" w:cs="等线"/>
                <w:sz w:val="18"/>
                <w:szCs w:val="18"/>
              </w:rPr>
              <w:t>5</w:t>
            </w:r>
          </w:p>
        </w:tc>
        <w:tc>
          <w:tcPr>
            <w:tcW w:w="2137" w:type="pct"/>
            <w:vAlign w:val="center"/>
          </w:tcPr>
          <w:p w14:paraId="636C591B">
            <w:pPr>
              <w:jc w:val="left"/>
              <w:rPr>
                <w:rFonts w:hint="eastAsia" w:cs="等线"/>
                <w:sz w:val="18"/>
                <w:szCs w:val="18"/>
              </w:rPr>
            </w:pPr>
            <w:r>
              <w:rPr>
                <w:rFonts w:hint="eastAsia" w:cs="等线"/>
                <w:sz w:val="18"/>
                <w:szCs w:val="18"/>
              </w:rPr>
              <w:t>喷洒粘层乳化沥青</w:t>
            </w:r>
          </w:p>
          <w:p w14:paraId="33EAF4CF">
            <w:pPr>
              <w:jc w:val="left"/>
              <w:rPr>
                <w:rFonts w:hint="eastAsia" w:cs="等线"/>
                <w:sz w:val="18"/>
                <w:szCs w:val="18"/>
              </w:rPr>
            </w:pPr>
            <w:r>
              <w:rPr>
                <w:rFonts w:hint="eastAsia" w:cs="等线"/>
                <w:sz w:val="18"/>
                <w:szCs w:val="18"/>
              </w:rPr>
              <w:t>1. SBS改性乳化沥青</w:t>
            </w:r>
          </w:p>
          <w:p w14:paraId="675965E7">
            <w:pPr>
              <w:jc w:val="left"/>
              <w:rPr>
                <w:rFonts w:hint="eastAsia" w:cs="等线"/>
                <w:sz w:val="18"/>
                <w:szCs w:val="18"/>
              </w:rPr>
            </w:pPr>
            <w:r>
              <w:rPr>
                <w:rFonts w:hint="eastAsia" w:cs="等线"/>
                <w:sz w:val="18"/>
                <w:szCs w:val="18"/>
              </w:rPr>
              <w:t>2. 用量：0.3-0.5 L/m²</w:t>
            </w:r>
          </w:p>
        </w:tc>
        <w:tc>
          <w:tcPr>
            <w:tcW w:w="389" w:type="pct"/>
            <w:vAlign w:val="center"/>
          </w:tcPr>
          <w:p w14:paraId="12F1AFDE">
            <w:pPr>
              <w:jc w:val="center"/>
              <w:rPr>
                <w:rFonts w:hint="eastAsia" w:cs="等线"/>
                <w:sz w:val="18"/>
                <w:szCs w:val="18"/>
              </w:rPr>
            </w:pPr>
            <w:r>
              <w:rPr>
                <w:rFonts w:hint="eastAsia" w:cs="等线"/>
                <w:sz w:val="18"/>
                <w:szCs w:val="18"/>
              </w:rPr>
              <w:t>㎡</w:t>
            </w:r>
          </w:p>
        </w:tc>
        <w:tc>
          <w:tcPr>
            <w:tcW w:w="385" w:type="pct"/>
            <w:vAlign w:val="center"/>
          </w:tcPr>
          <w:p w14:paraId="614C2683">
            <w:pPr>
              <w:jc w:val="center"/>
              <w:rPr>
                <w:rFonts w:hint="eastAsia" w:cs="等线"/>
                <w:sz w:val="18"/>
                <w:szCs w:val="18"/>
              </w:rPr>
            </w:pPr>
            <w:r>
              <w:rPr>
                <w:rFonts w:hint="eastAsia" w:cs="等线"/>
                <w:sz w:val="18"/>
                <w:szCs w:val="18"/>
              </w:rPr>
              <w:t>6200</w:t>
            </w:r>
          </w:p>
        </w:tc>
        <w:tc>
          <w:tcPr>
            <w:tcW w:w="399" w:type="pct"/>
            <w:vAlign w:val="center"/>
          </w:tcPr>
          <w:p w14:paraId="5E6E7B80">
            <w:pPr>
              <w:jc w:val="center"/>
              <w:rPr>
                <w:rFonts w:hint="eastAsia" w:cs="等线"/>
                <w:sz w:val="18"/>
                <w:szCs w:val="18"/>
              </w:rPr>
            </w:pPr>
          </w:p>
        </w:tc>
        <w:tc>
          <w:tcPr>
            <w:tcW w:w="548" w:type="pct"/>
            <w:vAlign w:val="center"/>
          </w:tcPr>
          <w:p w14:paraId="7A7C28DC">
            <w:pPr>
              <w:jc w:val="center"/>
              <w:rPr>
                <w:rFonts w:hint="eastAsia" w:cs="等线"/>
                <w:sz w:val="18"/>
                <w:szCs w:val="18"/>
              </w:rPr>
            </w:pPr>
          </w:p>
        </w:tc>
        <w:tc>
          <w:tcPr>
            <w:tcW w:w="898" w:type="pct"/>
            <w:vAlign w:val="center"/>
          </w:tcPr>
          <w:p w14:paraId="419BC1B9">
            <w:pPr>
              <w:jc w:val="center"/>
              <w:rPr>
                <w:rFonts w:hint="eastAsia" w:cs="等线"/>
                <w:sz w:val="18"/>
                <w:szCs w:val="18"/>
              </w:rPr>
            </w:pPr>
            <w:r>
              <w:rPr>
                <w:rFonts w:hint="eastAsia" w:cs="等线"/>
                <w:sz w:val="18"/>
                <w:szCs w:val="18"/>
              </w:rPr>
              <w:t>运输、施工、措施费综合考虑</w:t>
            </w:r>
          </w:p>
        </w:tc>
      </w:tr>
      <w:tr w14:paraId="342A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5FAD4F4E">
            <w:pPr>
              <w:jc w:val="center"/>
              <w:rPr>
                <w:rFonts w:hint="eastAsia" w:cs="等线"/>
                <w:sz w:val="18"/>
                <w:szCs w:val="18"/>
              </w:rPr>
            </w:pPr>
            <w:r>
              <w:rPr>
                <w:rFonts w:hint="eastAsia" w:cs="等线"/>
                <w:sz w:val="18"/>
                <w:szCs w:val="18"/>
              </w:rPr>
              <w:t>6</w:t>
            </w:r>
          </w:p>
        </w:tc>
        <w:tc>
          <w:tcPr>
            <w:tcW w:w="2137" w:type="pct"/>
            <w:vAlign w:val="center"/>
          </w:tcPr>
          <w:p w14:paraId="1D956FB8">
            <w:pPr>
              <w:jc w:val="left"/>
              <w:rPr>
                <w:rFonts w:hint="eastAsia" w:cs="等线"/>
                <w:sz w:val="18"/>
                <w:szCs w:val="18"/>
              </w:rPr>
            </w:pPr>
            <w:r>
              <w:rPr>
                <w:rFonts w:hint="eastAsia" w:cs="等线"/>
                <w:sz w:val="18"/>
                <w:szCs w:val="18"/>
              </w:rPr>
              <w:t>摊铺6cmSMA 13细粒式沥青砼（玄武岩石料）。</w:t>
            </w:r>
          </w:p>
          <w:p w14:paraId="0B262294">
            <w:pPr>
              <w:jc w:val="left"/>
              <w:rPr>
                <w:rFonts w:hint="eastAsia" w:cs="等线"/>
                <w:sz w:val="18"/>
                <w:szCs w:val="18"/>
              </w:rPr>
            </w:pPr>
            <w:r>
              <w:rPr>
                <w:rFonts w:hint="eastAsia" w:cs="等线"/>
                <w:sz w:val="18"/>
                <w:szCs w:val="18"/>
              </w:rPr>
              <w:t>1.材质：沥青玛蹄脂碎石混合料；13细粒式沥青混凝土；粗集料：采用玄武岩碎石，石料应坚硬、洁净、干燥、表面粗糙，其压碎值、磨光值、粘附性等指标须符合规范要求。</w:t>
            </w:r>
          </w:p>
          <w:p w14:paraId="12232C76">
            <w:pPr>
              <w:jc w:val="left"/>
              <w:rPr>
                <w:rFonts w:hint="eastAsia" w:cs="等线"/>
                <w:sz w:val="18"/>
                <w:szCs w:val="18"/>
              </w:rPr>
            </w:pPr>
            <w:r>
              <w:rPr>
                <w:rFonts w:hint="eastAsia" w:cs="等线"/>
                <w:sz w:val="18"/>
                <w:szCs w:val="18"/>
              </w:rPr>
              <w:t>细集料：采用坚硬、洁净、干燥的玄武岩机制砂或石屑，由玄武岩碎石轧制而成，具有良好的棱角性。</w:t>
            </w:r>
          </w:p>
          <w:p w14:paraId="2729F38E">
            <w:pPr>
              <w:jc w:val="left"/>
              <w:rPr>
                <w:rFonts w:hint="eastAsia" w:cs="等线"/>
                <w:sz w:val="18"/>
                <w:szCs w:val="18"/>
              </w:rPr>
            </w:pPr>
            <w:r>
              <w:rPr>
                <w:rFonts w:hint="eastAsia" w:cs="等线"/>
                <w:sz w:val="18"/>
                <w:szCs w:val="18"/>
              </w:rPr>
              <w:t>2.设计厚度：6cm；</w:t>
            </w:r>
          </w:p>
          <w:p w14:paraId="36371AAD">
            <w:pPr>
              <w:jc w:val="left"/>
              <w:rPr>
                <w:rFonts w:hint="eastAsia" w:cs="等线"/>
                <w:sz w:val="18"/>
                <w:szCs w:val="18"/>
              </w:rPr>
            </w:pPr>
            <w:r>
              <w:rPr>
                <w:rFonts w:hint="eastAsia" w:cs="等线"/>
                <w:sz w:val="18"/>
                <w:szCs w:val="18"/>
              </w:rPr>
              <w:t>3.级配：6cmSMA 13细粒式沥青砼。其技术要求应严格控制在《公路沥青路面施工技术规范》（JTG F40）规定的范围内。</w:t>
            </w:r>
          </w:p>
          <w:p w14:paraId="062F3609">
            <w:pPr>
              <w:jc w:val="left"/>
              <w:rPr>
                <w:rFonts w:hint="eastAsia" w:cs="等线"/>
                <w:sz w:val="18"/>
                <w:szCs w:val="18"/>
              </w:rPr>
            </w:pPr>
            <w:r>
              <w:rPr>
                <w:rFonts w:hint="eastAsia" w:cs="等线"/>
                <w:sz w:val="18"/>
                <w:szCs w:val="18"/>
              </w:rPr>
              <w:t>4.含</w:t>
            </w:r>
            <w:r>
              <w:rPr>
                <w:rFonts w:hint="eastAsia" w:cs="等线"/>
                <w:sz w:val="18"/>
                <w:szCs w:val="18"/>
                <w:lang w:val="en-US" w:eastAsia="zh-CN"/>
              </w:rPr>
              <w:t>第三方</w:t>
            </w:r>
            <w:r>
              <w:rPr>
                <w:rFonts w:hint="eastAsia" w:cs="等线"/>
                <w:sz w:val="18"/>
                <w:szCs w:val="18"/>
              </w:rPr>
              <w:t>检验试验费等</w:t>
            </w:r>
          </w:p>
        </w:tc>
        <w:tc>
          <w:tcPr>
            <w:tcW w:w="389" w:type="pct"/>
            <w:vAlign w:val="center"/>
          </w:tcPr>
          <w:p w14:paraId="44A10AE4">
            <w:pPr>
              <w:jc w:val="center"/>
              <w:rPr>
                <w:rFonts w:hint="eastAsia" w:cs="等线"/>
                <w:sz w:val="18"/>
                <w:szCs w:val="18"/>
              </w:rPr>
            </w:pPr>
            <w:r>
              <w:rPr>
                <w:rFonts w:hint="eastAsia" w:cs="等线"/>
                <w:sz w:val="18"/>
                <w:szCs w:val="18"/>
              </w:rPr>
              <w:t>㎡</w:t>
            </w:r>
          </w:p>
        </w:tc>
        <w:tc>
          <w:tcPr>
            <w:tcW w:w="385" w:type="pct"/>
            <w:vAlign w:val="center"/>
          </w:tcPr>
          <w:p w14:paraId="70B13947">
            <w:pPr>
              <w:jc w:val="center"/>
              <w:rPr>
                <w:rFonts w:hint="eastAsia" w:cs="等线"/>
                <w:sz w:val="18"/>
                <w:szCs w:val="18"/>
              </w:rPr>
            </w:pPr>
            <w:r>
              <w:rPr>
                <w:rFonts w:hint="eastAsia" w:cs="等线"/>
                <w:sz w:val="18"/>
                <w:szCs w:val="18"/>
              </w:rPr>
              <w:t>6200</w:t>
            </w:r>
          </w:p>
        </w:tc>
        <w:tc>
          <w:tcPr>
            <w:tcW w:w="399" w:type="pct"/>
            <w:vAlign w:val="center"/>
          </w:tcPr>
          <w:p w14:paraId="2DBC4114">
            <w:pPr>
              <w:jc w:val="center"/>
              <w:rPr>
                <w:rFonts w:hint="eastAsia" w:cs="等线"/>
                <w:sz w:val="18"/>
                <w:szCs w:val="18"/>
              </w:rPr>
            </w:pPr>
          </w:p>
        </w:tc>
        <w:tc>
          <w:tcPr>
            <w:tcW w:w="548" w:type="pct"/>
            <w:vAlign w:val="center"/>
          </w:tcPr>
          <w:p w14:paraId="26A9FF6A">
            <w:pPr>
              <w:jc w:val="center"/>
              <w:rPr>
                <w:rFonts w:hint="eastAsia" w:cs="等线"/>
                <w:sz w:val="18"/>
                <w:szCs w:val="18"/>
              </w:rPr>
            </w:pPr>
          </w:p>
        </w:tc>
        <w:tc>
          <w:tcPr>
            <w:tcW w:w="898" w:type="pct"/>
            <w:vAlign w:val="center"/>
          </w:tcPr>
          <w:p w14:paraId="25C3DCC9">
            <w:pPr>
              <w:jc w:val="center"/>
              <w:rPr>
                <w:rFonts w:hint="eastAsia" w:cs="等线"/>
                <w:sz w:val="18"/>
                <w:szCs w:val="18"/>
              </w:rPr>
            </w:pPr>
            <w:r>
              <w:rPr>
                <w:rFonts w:hint="eastAsia" w:cs="等线"/>
                <w:sz w:val="18"/>
                <w:szCs w:val="18"/>
              </w:rPr>
              <w:t>运输、施工、措施费综合考虑</w:t>
            </w:r>
          </w:p>
        </w:tc>
      </w:tr>
      <w:tr w14:paraId="5955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243" w:type="pct"/>
            <w:vAlign w:val="center"/>
          </w:tcPr>
          <w:p w14:paraId="760D43CA">
            <w:pPr>
              <w:jc w:val="center"/>
              <w:rPr>
                <w:rFonts w:hint="eastAsia" w:cs="等线"/>
                <w:sz w:val="18"/>
                <w:szCs w:val="18"/>
              </w:rPr>
            </w:pPr>
            <w:r>
              <w:rPr>
                <w:rFonts w:hint="eastAsia" w:cs="等线"/>
                <w:sz w:val="18"/>
                <w:szCs w:val="18"/>
              </w:rPr>
              <w:t>7</w:t>
            </w:r>
          </w:p>
        </w:tc>
        <w:tc>
          <w:tcPr>
            <w:tcW w:w="2137" w:type="pct"/>
            <w:vAlign w:val="center"/>
          </w:tcPr>
          <w:p w14:paraId="622C5D2A">
            <w:pPr>
              <w:jc w:val="left"/>
              <w:rPr>
                <w:rFonts w:hint="eastAsia" w:cs="等线"/>
                <w:sz w:val="18"/>
                <w:szCs w:val="18"/>
              </w:rPr>
            </w:pPr>
            <w:r>
              <w:rPr>
                <w:rFonts w:hint="eastAsia" w:cs="等线"/>
                <w:sz w:val="18"/>
                <w:szCs w:val="18"/>
              </w:rPr>
              <w:t>暂列金</w:t>
            </w:r>
          </w:p>
        </w:tc>
        <w:tc>
          <w:tcPr>
            <w:tcW w:w="389" w:type="pct"/>
            <w:vAlign w:val="center"/>
          </w:tcPr>
          <w:p w14:paraId="59ED1244">
            <w:pPr>
              <w:jc w:val="center"/>
              <w:rPr>
                <w:rFonts w:hint="eastAsia" w:cs="等线"/>
                <w:sz w:val="18"/>
                <w:szCs w:val="18"/>
              </w:rPr>
            </w:pPr>
            <w:r>
              <w:rPr>
                <w:rFonts w:hint="eastAsia" w:cs="等线"/>
                <w:sz w:val="18"/>
                <w:szCs w:val="18"/>
              </w:rPr>
              <w:t>元</w:t>
            </w:r>
          </w:p>
        </w:tc>
        <w:tc>
          <w:tcPr>
            <w:tcW w:w="385" w:type="pct"/>
            <w:vAlign w:val="center"/>
          </w:tcPr>
          <w:p w14:paraId="3EBB99D6">
            <w:pPr>
              <w:jc w:val="center"/>
              <w:rPr>
                <w:rFonts w:hint="eastAsia" w:cs="等线"/>
                <w:sz w:val="18"/>
                <w:szCs w:val="18"/>
              </w:rPr>
            </w:pPr>
          </w:p>
        </w:tc>
        <w:tc>
          <w:tcPr>
            <w:tcW w:w="399" w:type="pct"/>
            <w:vAlign w:val="center"/>
          </w:tcPr>
          <w:p w14:paraId="7BF5BF58">
            <w:pPr>
              <w:jc w:val="center"/>
              <w:rPr>
                <w:rFonts w:hint="eastAsia" w:cs="等线"/>
                <w:sz w:val="18"/>
                <w:szCs w:val="18"/>
              </w:rPr>
            </w:pPr>
          </w:p>
        </w:tc>
        <w:tc>
          <w:tcPr>
            <w:tcW w:w="548" w:type="pct"/>
            <w:vAlign w:val="center"/>
          </w:tcPr>
          <w:p w14:paraId="7392490A">
            <w:pPr>
              <w:jc w:val="center"/>
              <w:rPr>
                <w:rFonts w:hint="eastAsia" w:cs="等线"/>
                <w:sz w:val="18"/>
                <w:szCs w:val="18"/>
              </w:rPr>
            </w:pPr>
            <w:r>
              <w:rPr>
                <w:rFonts w:hint="eastAsia" w:cs="等线"/>
                <w:sz w:val="18"/>
                <w:szCs w:val="18"/>
              </w:rPr>
              <w:t>50000</w:t>
            </w:r>
          </w:p>
        </w:tc>
        <w:tc>
          <w:tcPr>
            <w:tcW w:w="898" w:type="pct"/>
            <w:vAlign w:val="center"/>
          </w:tcPr>
          <w:p w14:paraId="612D803A">
            <w:pPr>
              <w:jc w:val="center"/>
              <w:rPr>
                <w:rFonts w:hint="eastAsia" w:cs="等线"/>
                <w:sz w:val="18"/>
                <w:szCs w:val="18"/>
              </w:rPr>
            </w:pPr>
            <w:r>
              <w:rPr>
                <w:rFonts w:hint="eastAsia" w:cs="等线"/>
                <w:sz w:val="18"/>
                <w:szCs w:val="18"/>
              </w:rPr>
              <w:t>暂列金额按照工程量清单中列出的金额填写，不能通过修改此项报价来竞争。</w:t>
            </w:r>
          </w:p>
        </w:tc>
      </w:tr>
      <w:tr w14:paraId="4758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43" w:type="pct"/>
            <w:vAlign w:val="center"/>
          </w:tcPr>
          <w:p w14:paraId="020D3BC0">
            <w:pPr>
              <w:jc w:val="center"/>
              <w:rPr>
                <w:rFonts w:hint="eastAsia" w:cs="等线"/>
                <w:sz w:val="18"/>
                <w:szCs w:val="18"/>
              </w:rPr>
            </w:pPr>
            <w:r>
              <w:rPr>
                <w:rFonts w:hint="eastAsia" w:cs="等线"/>
                <w:sz w:val="18"/>
                <w:szCs w:val="18"/>
              </w:rPr>
              <w:t>8</w:t>
            </w:r>
          </w:p>
        </w:tc>
        <w:tc>
          <w:tcPr>
            <w:tcW w:w="2137" w:type="pct"/>
            <w:vAlign w:val="center"/>
          </w:tcPr>
          <w:p w14:paraId="2A323A94">
            <w:pPr>
              <w:jc w:val="center"/>
              <w:rPr>
                <w:rFonts w:hint="eastAsia" w:cs="等线"/>
                <w:sz w:val="18"/>
                <w:szCs w:val="18"/>
              </w:rPr>
            </w:pPr>
            <w:r>
              <w:rPr>
                <w:rFonts w:hint="eastAsia" w:cs="等线"/>
                <w:sz w:val="18"/>
                <w:szCs w:val="18"/>
              </w:rPr>
              <w:t>合计</w:t>
            </w:r>
          </w:p>
        </w:tc>
        <w:tc>
          <w:tcPr>
            <w:tcW w:w="389" w:type="pct"/>
            <w:vAlign w:val="center"/>
          </w:tcPr>
          <w:p w14:paraId="0D44998C">
            <w:pPr>
              <w:jc w:val="center"/>
              <w:rPr>
                <w:rFonts w:hint="eastAsia" w:cs="等线"/>
                <w:sz w:val="18"/>
                <w:szCs w:val="18"/>
              </w:rPr>
            </w:pPr>
          </w:p>
        </w:tc>
        <w:tc>
          <w:tcPr>
            <w:tcW w:w="385" w:type="pct"/>
            <w:vAlign w:val="center"/>
          </w:tcPr>
          <w:p w14:paraId="5D67EEE1">
            <w:pPr>
              <w:jc w:val="center"/>
              <w:rPr>
                <w:rFonts w:hint="eastAsia" w:cs="等线"/>
                <w:sz w:val="18"/>
                <w:szCs w:val="18"/>
              </w:rPr>
            </w:pPr>
          </w:p>
        </w:tc>
        <w:tc>
          <w:tcPr>
            <w:tcW w:w="399" w:type="pct"/>
            <w:vAlign w:val="center"/>
          </w:tcPr>
          <w:p w14:paraId="489A2A70">
            <w:pPr>
              <w:jc w:val="center"/>
              <w:rPr>
                <w:rFonts w:hint="eastAsia" w:cs="等线"/>
                <w:sz w:val="18"/>
                <w:szCs w:val="18"/>
              </w:rPr>
            </w:pPr>
          </w:p>
        </w:tc>
        <w:tc>
          <w:tcPr>
            <w:tcW w:w="548" w:type="pct"/>
            <w:vAlign w:val="center"/>
          </w:tcPr>
          <w:p w14:paraId="516771D4">
            <w:pPr>
              <w:jc w:val="center"/>
              <w:rPr>
                <w:rFonts w:hint="eastAsia" w:cs="等线"/>
                <w:sz w:val="18"/>
                <w:szCs w:val="18"/>
              </w:rPr>
            </w:pPr>
          </w:p>
        </w:tc>
        <w:tc>
          <w:tcPr>
            <w:tcW w:w="898" w:type="pct"/>
            <w:vAlign w:val="center"/>
          </w:tcPr>
          <w:p w14:paraId="6DC3F7C4">
            <w:pPr>
              <w:jc w:val="center"/>
              <w:rPr>
                <w:rFonts w:hint="eastAsia" w:cs="等线"/>
                <w:sz w:val="18"/>
                <w:szCs w:val="18"/>
              </w:rPr>
            </w:pPr>
          </w:p>
        </w:tc>
      </w:tr>
    </w:tbl>
    <w:p w14:paraId="1F71F805">
      <w:pPr>
        <w:rPr>
          <w:rFonts w:hint="eastAsia"/>
        </w:rPr>
      </w:pPr>
      <w:r>
        <w:rPr>
          <w:rFonts w:ascii="Times New Roman" w:hAnsi="Times New Roman"/>
          <w:color w:val="000000"/>
        </w:rPr>
        <w:br w:type="page"/>
      </w:r>
    </w:p>
    <w:p w14:paraId="0BF070A2">
      <w:pPr>
        <w:pStyle w:val="2"/>
        <w:spacing w:before="0" w:after="0" w:line="300" w:lineRule="auto"/>
        <w:jc w:val="center"/>
        <w:rPr>
          <w:rFonts w:eastAsia="黑体"/>
          <w:color w:val="000000"/>
        </w:rPr>
      </w:pPr>
      <w:bookmarkStart w:id="145" w:name="_Toc8062"/>
      <w:r>
        <w:rPr>
          <w:rFonts w:eastAsia="黑体"/>
          <w:color w:val="000000"/>
        </w:rPr>
        <w:t>二、投标书技术</w:t>
      </w:r>
      <w:r>
        <w:rPr>
          <w:rFonts w:hint="eastAsia" w:eastAsia="黑体"/>
          <w:color w:val="000000"/>
        </w:rPr>
        <w:t>标</w:t>
      </w:r>
      <w:r>
        <w:rPr>
          <w:rFonts w:eastAsia="黑体"/>
          <w:color w:val="000000"/>
        </w:rPr>
        <w:t>格式</w:t>
      </w:r>
      <w:bookmarkEnd w:id="145"/>
    </w:p>
    <w:p w14:paraId="4492628B">
      <w:pPr>
        <w:pStyle w:val="3"/>
        <w:spacing w:before="0" w:after="0" w:line="300" w:lineRule="auto"/>
        <w:jc w:val="center"/>
      </w:pPr>
      <w:bookmarkStart w:id="146" w:name="_Toc29439"/>
      <w:r>
        <w:rPr>
          <w:rFonts w:ascii="Times New Roman" w:hAnsi="Times New Roman"/>
          <w:color w:val="000000"/>
        </w:rPr>
        <w:t>（一）施工组织设计</w:t>
      </w:r>
      <w:bookmarkEnd w:id="146"/>
    </w:p>
    <w:bookmarkEnd w:id="130"/>
    <w:bookmarkEnd w:id="131"/>
    <w:bookmarkEnd w:id="132"/>
    <w:bookmarkEnd w:id="133"/>
    <w:bookmarkEnd w:id="134"/>
    <w:bookmarkEnd w:id="135"/>
    <w:bookmarkEnd w:id="136"/>
    <w:bookmarkEnd w:id="137"/>
    <w:p w14:paraId="43BEDC67">
      <w:pPr>
        <w:spacing w:line="300" w:lineRule="auto"/>
        <w:ind w:firstLine="480" w:firstLineChars="200"/>
        <w:rPr>
          <w:rFonts w:hint="eastAsia" w:cs="等线"/>
          <w:color w:val="000000"/>
          <w:sz w:val="24"/>
          <w:szCs w:val="24"/>
        </w:rPr>
      </w:pPr>
      <w:r>
        <w:rPr>
          <w:rFonts w:hint="eastAsia" w:cs="等线"/>
          <w:color w:val="000000"/>
          <w:sz w:val="24"/>
          <w:szCs w:val="24"/>
        </w:rPr>
        <w:t>投标人应按照本章节要求编制施工组织设计，内容应针对本项目特点，重点阐述保证工程质量合格与确保按期完工的具体方案与措施。要求内容简明扼要、重点突出、措施可行。</w:t>
      </w:r>
    </w:p>
    <w:p w14:paraId="3088ABED">
      <w:pPr>
        <w:spacing w:line="300" w:lineRule="auto"/>
        <w:ind w:firstLine="480" w:firstLineChars="200"/>
        <w:rPr>
          <w:rFonts w:hint="eastAsia" w:cs="等线"/>
          <w:color w:val="000000"/>
          <w:sz w:val="24"/>
          <w:szCs w:val="24"/>
        </w:rPr>
      </w:pPr>
      <w:r>
        <w:rPr>
          <w:rFonts w:hint="eastAsia" w:cs="等线"/>
          <w:color w:val="000000"/>
          <w:sz w:val="24"/>
          <w:szCs w:val="24"/>
        </w:rPr>
        <w:t>1.编制内容要求</w:t>
      </w:r>
      <w:r>
        <w:rPr>
          <w:rFonts w:hint="eastAsia" w:cs="等线"/>
          <w:color w:val="000000"/>
          <w:sz w:val="24"/>
          <w:szCs w:val="24"/>
        </w:rPr>
        <w:br w:type="textWrapping"/>
      </w:r>
      <w:r>
        <w:rPr>
          <w:rFonts w:hint="eastAsia" w:cs="等线"/>
          <w:color w:val="000000"/>
          <w:sz w:val="24"/>
          <w:szCs w:val="24"/>
        </w:rPr>
        <w:t>施工组织设计应至少包含以下章节，并按顺序编制：</w:t>
      </w:r>
    </w:p>
    <w:p w14:paraId="22E25279">
      <w:pPr>
        <w:spacing w:line="300" w:lineRule="auto"/>
        <w:ind w:firstLine="480" w:firstLineChars="200"/>
        <w:rPr>
          <w:rFonts w:hint="eastAsia" w:cs="等线"/>
          <w:color w:val="000000"/>
          <w:sz w:val="24"/>
          <w:szCs w:val="24"/>
        </w:rPr>
      </w:pPr>
      <w:r>
        <w:rPr>
          <w:rFonts w:hint="eastAsia" w:cs="等线"/>
          <w:color w:val="000000"/>
          <w:sz w:val="24"/>
          <w:szCs w:val="24"/>
        </w:rPr>
        <w:t>第一章 工程概况与目标承诺</w:t>
      </w:r>
    </w:p>
    <w:p w14:paraId="281D679E">
      <w:pPr>
        <w:spacing w:line="300" w:lineRule="auto"/>
        <w:ind w:firstLine="480" w:firstLineChars="200"/>
        <w:rPr>
          <w:rFonts w:hint="eastAsia" w:cs="等线"/>
          <w:color w:val="000000"/>
          <w:sz w:val="24"/>
          <w:szCs w:val="24"/>
        </w:rPr>
      </w:pPr>
      <w:r>
        <w:rPr>
          <w:rFonts w:hint="eastAsia" w:cs="等线"/>
          <w:color w:val="000000"/>
          <w:sz w:val="24"/>
          <w:szCs w:val="24"/>
        </w:rPr>
        <w:t>简述对本项目的理解，明确承诺的质量目标（必须达到国家施工质量验收合格标准）和工期目标（关键工期6日历天，并承诺确保两个关键节点工期）。</w:t>
      </w:r>
    </w:p>
    <w:p w14:paraId="35C05971">
      <w:pPr>
        <w:spacing w:line="300" w:lineRule="auto"/>
        <w:ind w:firstLine="480" w:firstLineChars="200"/>
        <w:rPr>
          <w:rFonts w:hint="eastAsia" w:cs="等线"/>
          <w:color w:val="000000"/>
          <w:sz w:val="24"/>
          <w:szCs w:val="24"/>
        </w:rPr>
      </w:pPr>
      <w:r>
        <w:rPr>
          <w:rFonts w:hint="eastAsia" w:cs="等线"/>
          <w:color w:val="000000"/>
          <w:sz w:val="24"/>
          <w:szCs w:val="24"/>
        </w:rPr>
        <w:t>第二章 确保工程质量合格的主要措施</w:t>
      </w:r>
    </w:p>
    <w:p w14:paraId="784DE5F2">
      <w:pPr>
        <w:spacing w:line="300" w:lineRule="auto"/>
        <w:ind w:firstLine="480" w:firstLineChars="200"/>
        <w:rPr>
          <w:rFonts w:hint="eastAsia" w:cs="等线"/>
          <w:color w:val="000000"/>
          <w:sz w:val="24"/>
          <w:szCs w:val="24"/>
        </w:rPr>
      </w:pPr>
      <w:r>
        <w:rPr>
          <w:rFonts w:hint="eastAsia" w:cs="等线"/>
          <w:color w:val="000000"/>
          <w:sz w:val="24"/>
          <w:szCs w:val="24"/>
        </w:rPr>
        <w:t>投标人须详细阐述为达到合格质量标准所采取的具体、可操作的保障措施。内容应包括但不限于：材料质量控制方案：对主要材料（如沥青、集料、乳化沥青等）的来源、采购、检验、保管和使用提出具体控制措施。</w:t>
      </w:r>
    </w:p>
    <w:p w14:paraId="495DE4CE">
      <w:pPr>
        <w:spacing w:line="300" w:lineRule="auto"/>
        <w:ind w:firstLine="480" w:firstLineChars="200"/>
        <w:rPr>
          <w:rFonts w:hint="eastAsia" w:eastAsia="等线" w:cs="等线"/>
          <w:color w:val="000000"/>
          <w:sz w:val="24"/>
          <w:szCs w:val="24"/>
          <w:lang w:eastAsia="zh-CN"/>
        </w:rPr>
      </w:pPr>
      <w:r>
        <w:rPr>
          <w:rFonts w:hint="eastAsia" w:cs="等线"/>
          <w:color w:val="000000"/>
          <w:sz w:val="24"/>
          <w:szCs w:val="24"/>
        </w:rPr>
        <w:t>本工程所有沥青材料将严格按照招标文件第四章要求进行采购与质量控制，具体保障措施详见本投标文件《沥青材料供应专项方案》章节</w:t>
      </w:r>
      <w:r>
        <w:rPr>
          <w:rFonts w:hint="eastAsia" w:cs="等线"/>
          <w:color w:val="000000"/>
          <w:sz w:val="24"/>
          <w:szCs w:val="24"/>
          <w:lang w:eastAsia="zh-CN"/>
        </w:rPr>
        <w:t>。</w:t>
      </w:r>
    </w:p>
    <w:p w14:paraId="4675294C">
      <w:pPr>
        <w:spacing w:line="300" w:lineRule="auto"/>
        <w:ind w:firstLine="480" w:firstLineChars="200"/>
        <w:rPr>
          <w:rFonts w:hint="eastAsia" w:cs="等线"/>
          <w:color w:val="000000"/>
          <w:sz w:val="24"/>
          <w:szCs w:val="24"/>
        </w:rPr>
      </w:pPr>
      <w:r>
        <w:rPr>
          <w:rFonts w:hint="eastAsia" w:cs="等线"/>
          <w:color w:val="000000"/>
          <w:sz w:val="24"/>
          <w:szCs w:val="24"/>
        </w:rPr>
        <w:t>关键工序质量控制点及控制方法：针对铣刨深度、水稳层压实度与养护、沥青混合料配比与摊铺温度、路面压实度与平整度等关键工序，说明拟采用的技术控制标准、检测频率和方法。</w:t>
      </w:r>
    </w:p>
    <w:p w14:paraId="1FF7562E">
      <w:pPr>
        <w:spacing w:line="300" w:lineRule="auto"/>
        <w:ind w:firstLine="480" w:firstLineChars="200"/>
        <w:rPr>
          <w:rFonts w:hint="eastAsia" w:cs="等线"/>
          <w:color w:val="000000"/>
          <w:sz w:val="24"/>
          <w:szCs w:val="24"/>
        </w:rPr>
      </w:pPr>
      <w:r>
        <w:rPr>
          <w:rFonts w:hint="eastAsia" w:cs="等线"/>
          <w:color w:val="000000"/>
          <w:sz w:val="24"/>
          <w:szCs w:val="24"/>
        </w:rPr>
        <w:t>质量保证体系：说明现场质量管理组织架构、人员职责，以及检查制度的运行机制。</w:t>
      </w:r>
    </w:p>
    <w:p w14:paraId="67CF1F5F">
      <w:pPr>
        <w:spacing w:line="300" w:lineRule="auto"/>
        <w:ind w:firstLine="480" w:firstLineChars="200"/>
        <w:rPr>
          <w:rFonts w:hint="eastAsia" w:cs="等线"/>
          <w:color w:val="000000"/>
          <w:sz w:val="24"/>
          <w:szCs w:val="24"/>
        </w:rPr>
      </w:pPr>
      <w:r>
        <w:rPr>
          <w:rFonts w:hint="eastAsia" w:cs="等线"/>
          <w:color w:val="000000"/>
          <w:sz w:val="24"/>
          <w:szCs w:val="24"/>
        </w:rPr>
        <w:t>冬季施工质量保障专项措施：结合2月份施工的气候条件，说明保证基层施工质量的具体技术措施（如保温、摊铺机选择、养护方法等）。</w:t>
      </w:r>
    </w:p>
    <w:p w14:paraId="0BD59A18">
      <w:pPr>
        <w:spacing w:line="300" w:lineRule="auto"/>
        <w:ind w:firstLine="480" w:firstLineChars="200"/>
        <w:rPr>
          <w:rFonts w:hint="eastAsia" w:cs="等线"/>
          <w:color w:val="000000"/>
          <w:sz w:val="24"/>
          <w:szCs w:val="24"/>
        </w:rPr>
      </w:pPr>
      <w:r>
        <w:rPr>
          <w:rFonts w:hint="eastAsia" w:cs="等线"/>
          <w:color w:val="000000"/>
          <w:sz w:val="24"/>
          <w:szCs w:val="24"/>
        </w:rPr>
        <w:t>第三章 确保工期按期完成的主要措施</w:t>
      </w:r>
    </w:p>
    <w:p w14:paraId="28C26B50">
      <w:pPr>
        <w:spacing w:line="300" w:lineRule="auto"/>
        <w:ind w:firstLine="480" w:firstLineChars="200"/>
        <w:rPr>
          <w:rFonts w:hint="eastAsia" w:cs="等线"/>
          <w:color w:val="000000"/>
          <w:sz w:val="24"/>
          <w:szCs w:val="24"/>
        </w:rPr>
      </w:pPr>
      <w:r>
        <w:rPr>
          <w:rFonts w:hint="eastAsia" w:cs="等线"/>
          <w:color w:val="000000"/>
          <w:sz w:val="24"/>
          <w:szCs w:val="24"/>
        </w:rPr>
        <w:t>投标人须详细阐述为在6日历天内，特别是确保两个强制节点工期的实现，所制定的具体、可靠的保障措施。内容应包括但不限于：</w:t>
      </w:r>
    </w:p>
    <w:p w14:paraId="4DA07B90">
      <w:pPr>
        <w:spacing w:line="300" w:lineRule="auto"/>
        <w:ind w:firstLine="480" w:firstLineChars="200"/>
        <w:rPr>
          <w:rFonts w:hint="eastAsia" w:cs="等线"/>
          <w:color w:val="000000"/>
          <w:sz w:val="24"/>
          <w:szCs w:val="24"/>
        </w:rPr>
      </w:pPr>
      <w:r>
        <w:rPr>
          <w:rFonts w:hint="eastAsia" w:cs="等线"/>
          <w:color w:val="000000"/>
          <w:sz w:val="24"/>
          <w:szCs w:val="24"/>
        </w:rPr>
        <w:t>施工进度计划：必须提交以小时或半日为单位的详细施工进度计划表（绘制横道图），清晰显示各工序的起止时间、衔接关系和关键线路。</w:t>
      </w:r>
    </w:p>
    <w:p w14:paraId="11ED3CE5">
      <w:pPr>
        <w:spacing w:line="300" w:lineRule="auto"/>
        <w:ind w:firstLine="480" w:firstLineChars="200"/>
        <w:rPr>
          <w:rFonts w:hint="eastAsia" w:cs="等线"/>
          <w:color w:val="000000"/>
          <w:sz w:val="24"/>
          <w:szCs w:val="24"/>
        </w:rPr>
      </w:pPr>
      <w:r>
        <w:rPr>
          <w:rFonts w:hint="eastAsia" w:cs="等线"/>
          <w:color w:val="000000"/>
          <w:sz w:val="24"/>
          <w:szCs w:val="24"/>
        </w:rPr>
        <w:t>资源超配投入计划：说明为满足工期要求，拟投入的施工设备数量、型号（见附表一）及劳动力数量、工种安排（见附表二），并证明其充足性。</w:t>
      </w:r>
    </w:p>
    <w:p w14:paraId="78E9290C">
      <w:pPr>
        <w:spacing w:line="300" w:lineRule="auto"/>
        <w:ind w:firstLine="480" w:firstLineChars="200"/>
        <w:rPr>
          <w:rFonts w:hint="eastAsia" w:cs="等线"/>
          <w:color w:val="000000"/>
          <w:sz w:val="24"/>
          <w:szCs w:val="24"/>
        </w:rPr>
      </w:pPr>
      <w:r>
        <w:rPr>
          <w:rFonts w:hint="eastAsia" w:cs="等线"/>
          <w:color w:val="000000"/>
          <w:sz w:val="24"/>
          <w:szCs w:val="24"/>
        </w:rPr>
        <w:t>春节前后连续施工保障方案：具体说明为保障春节前后（2月13-14日及24-27日）连续施工，在人员组织、材料储备、后勤保障、激励措施等方面的详细安排。</w:t>
      </w:r>
    </w:p>
    <w:p w14:paraId="57DF78BA">
      <w:pPr>
        <w:spacing w:line="300" w:lineRule="auto"/>
        <w:ind w:firstLine="480" w:firstLineChars="200"/>
        <w:rPr>
          <w:rFonts w:hint="eastAsia" w:cs="等线"/>
          <w:color w:val="000000"/>
          <w:sz w:val="24"/>
          <w:szCs w:val="24"/>
        </w:rPr>
      </w:pPr>
      <w:r>
        <w:rPr>
          <w:rFonts w:hint="eastAsia" w:cs="等线"/>
          <w:color w:val="000000"/>
          <w:sz w:val="24"/>
          <w:szCs w:val="24"/>
        </w:rPr>
        <w:t>工序衔接与交通组织方案：说明如何优化铣刨、运输、摊铺、碾压等工序的衔接，以最大化作业效率。</w:t>
      </w:r>
    </w:p>
    <w:p w14:paraId="064FF344">
      <w:pPr>
        <w:spacing w:line="300" w:lineRule="auto"/>
        <w:ind w:firstLine="480" w:firstLineChars="200"/>
        <w:rPr>
          <w:rFonts w:hint="eastAsia" w:cs="等线"/>
          <w:color w:val="000000"/>
          <w:sz w:val="24"/>
          <w:szCs w:val="24"/>
        </w:rPr>
      </w:pPr>
      <w:r>
        <w:rPr>
          <w:rFonts w:hint="eastAsia" w:cs="等线"/>
          <w:color w:val="000000"/>
          <w:sz w:val="24"/>
          <w:szCs w:val="24"/>
        </w:rPr>
        <w:t>应急预案：针对可能影响工期的突发情况（如恶劣天气、设备故障），提出具体的应急人员和物资准备方案。</w:t>
      </w:r>
    </w:p>
    <w:p w14:paraId="7B934653">
      <w:pPr>
        <w:spacing w:line="300" w:lineRule="auto"/>
        <w:ind w:firstLine="480" w:firstLineChars="200"/>
        <w:rPr>
          <w:rFonts w:hint="eastAsia" w:cs="等线"/>
          <w:color w:val="000000"/>
          <w:sz w:val="24"/>
          <w:szCs w:val="24"/>
        </w:rPr>
      </w:pPr>
      <w:r>
        <w:rPr>
          <w:rFonts w:hint="eastAsia" w:cs="等线"/>
          <w:color w:val="000000"/>
          <w:sz w:val="24"/>
          <w:szCs w:val="24"/>
        </w:rPr>
        <w:t>第四章 安全生产、文明施工与环境保护简要措施</w:t>
      </w:r>
    </w:p>
    <w:p w14:paraId="10B52824">
      <w:pPr>
        <w:spacing w:line="300" w:lineRule="auto"/>
        <w:ind w:firstLine="480" w:firstLineChars="200"/>
        <w:rPr>
          <w:rFonts w:hint="eastAsia" w:cs="等线"/>
          <w:color w:val="000000"/>
          <w:sz w:val="24"/>
          <w:szCs w:val="24"/>
        </w:rPr>
      </w:pPr>
      <w:r>
        <w:rPr>
          <w:rFonts w:hint="eastAsia" w:cs="等线"/>
          <w:color w:val="000000"/>
          <w:sz w:val="24"/>
          <w:szCs w:val="24"/>
        </w:rPr>
        <w:t>简要说明针对本项目现场特点拟采取的主要安全防护、文明施工和环境保护措施。</w:t>
      </w:r>
    </w:p>
    <w:p w14:paraId="636D3BC4">
      <w:pPr>
        <w:spacing w:line="300" w:lineRule="auto"/>
        <w:ind w:left="478" w:leftChars="228"/>
        <w:rPr>
          <w:rFonts w:hint="eastAsia" w:cs="等线"/>
          <w:color w:val="000000"/>
          <w:sz w:val="24"/>
          <w:szCs w:val="24"/>
        </w:rPr>
      </w:pPr>
      <w:r>
        <w:rPr>
          <w:rFonts w:hint="eastAsia" w:cs="等线"/>
          <w:color w:val="000000"/>
          <w:sz w:val="24"/>
          <w:szCs w:val="24"/>
        </w:rPr>
        <w:t>2.图表格式要求</w:t>
      </w:r>
      <w:r>
        <w:rPr>
          <w:rFonts w:hint="eastAsia" w:cs="等线"/>
          <w:color w:val="000000"/>
          <w:sz w:val="24"/>
          <w:szCs w:val="24"/>
        </w:rPr>
        <w:br w:type="textWrapping"/>
      </w:r>
      <w:r>
        <w:rPr>
          <w:rFonts w:hint="eastAsia" w:cs="等线"/>
          <w:color w:val="000000"/>
          <w:sz w:val="24"/>
          <w:szCs w:val="24"/>
        </w:rPr>
        <w:t>投标人必须按要求填写并提交以下表格，作为施工组织设计的重要组成部分：</w:t>
      </w:r>
    </w:p>
    <w:p w14:paraId="0413C2F4">
      <w:pPr>
        <w:pStyle w:val="41"/>
        <w:shd w:val="clear" w:color="auto" w:fill="FFFFFF"/>
        <w:spacing w:line="300" w:lineRule="auto"/>
        <w:jc w:val="center"/>
        <w:rPr>
          <w:rFonts w:eastAsia="等线"/>
          <w:color w:val="000000"/>
          <w:kern w:val="2"/>
          <w:szCs w:val="22"/>
        </w:rPr>
      </w:pPr>
      <w:r>
        <w:rPr>
          <w:rFonts w:eastAsia="等线"/>
          <w:color w:val="000000"/>
          <w:kern w:val="2"/>
          <w:szCs w:val="22"/>
        </w:rPr>
        <w:t>附表一：拟投入本项目的主要施工设备表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45"/>
        <w:gridCol w:w="1838"/>
        <w:gridCol w:w="979"/>
        <w:gridCol w:w="1503"/>
        <w:gridCol w:w="2286"/>
        <w:gridCol w:w="1787"/>
      </w:tblGrid>
      <w:tr w14:paraId="6FAD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2" w:hRule="exact"/>
          <w:tblHeader/>
        </w:trPr>
        <w:tc>
          <w:tcPr>
            <w:tcW w:w="1145" w:type="dxa"/>
            <w:tcMar>
              <w:top w:w="150" w:type="dxa"/>
              <w:left w:w="0" w:type="dxa"/>
              <w:bottom w:w="150" w:type="dxa"/>
              <w:right w:w="240" w:type="dxa"/>
            </w:tcMar>
            <w:vAlign w:val="center"/>
          </w:tcPr>
          <w:p w14:paraId="1FAD3853">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序号</w:t>
            </w:r>
          </w:p>
        </w:tc>
        <w:tc>
          <w:tcPr>
            <w:tcW w:w="1838" w:type="dxa"/>
            <w:tcMar>
              <w:top w:w="150" w:type="dxa"/>
              <w:left w:w="240" w:type="dxa"/>
              <w:bottom w:w="150" w:type="dxa"/>
              <w:right w:w="240" w:type="dxa"/>
            </w:tcMar>
            <w:vAlign w:val="center"/>
          </w:tcPr>
          <w:p w14:paraId="428ACBC6">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设备名称</w:t>
            </w:r>
          </w:p>
        </w:tc>
        <w:tc>
          <w:tcPr>
            <w:tcW w:w="979" w:type="dxa"/>
            <w:tcMar>
              <w:top w:w="150" w:type="dxa"/>
              <w:left w:w="240" w:type="dxa"/>
              <w:bottom w:w="150" w:type="dxa"/>
              <w:right w:w="240" w:type="dxa"/>
            </w:tcMar>
            <w:vAlign w:val="center"/>
          </w:tcPr>
          <w:p w14:paraId="7FCCD837">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型号规格</w:t>
            </w:r>
          </w:p>
        </w:tc>
        <w:tc>
          <w:tcPr>
            <w:tcW w:w="1503" w:type="dxa"/>
            <w:tcMar>
              <w:top w:w="150" w:type="dxa"/>
              <w:left w:w="240" w:type="dxa"/>
              <w:bottom w:w="150" w:type="dxa"/>
              <w:right w:w="240" w:type="dxa"/>
            </w:tcMar>
            <w:vAlign w:val="center"/>
          </w:tcPr>
          <w:p w14:paraId="0D0174AC">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数量</w:t>
            </w:r>
          </w:p>
          <w:p w14:paraId="080E947E">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（台/套）</w:t>
            </w:r>
          </w:p>
        </w:tc>
        <w:tc>
          <w:tcPr>
            <w:tcW w:w="2286" w:type="dxa"/>
            <w:tcMar>
              <w:top w:w="150" w:type="dxa"/>
              <w:left w:w="240" w:type="dxa"/>
              <w:bottom w:w="150" w:type="dxa"/>
              <w:right w:w="240" w:type="dxa"/>
            </w:tcMar>
            <w:vAlign w:val="center"/>
          </w:tcPr>
          <w:p w14:paraId="55414C1D">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用于施工部位</w:t>
            </w:r>
          </w:p>
        </w:tc>
        <w:tc>
          <w:tcPr>
            <w:tcW w:w="1787" w:type="dxa"/>
            <w:tcMar>
              <w:top w:w="150" w:type="dxa"/>
              <w:left w:w="240" w:type="dxa"/>
              <w:bottom w:w="150" w:type="dxa"/>
              <w:right w:w="240" w:type="dxa"/>
            </w:tcMar>
            <w:vAlign w:val="center"/>
          </w:tcPr>
          <w:p w14:paraId="5C165711">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备注（如为自有/租赁）</w:t>
            </w:r>
          </w:p>
        </w:tc>
      </w:tr>
      <w:tr w14:paraId="6243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712E95A5">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1</w:t>
            </w:r>
          </w:p>
        </w:tc>
        <w:tc>
          <w:tcPr>
            <w:tcW w:w="1838" w:type="dxa"/>
            <w:tcMar>
              <w:top w:w="150" w:type="dxa"/>
              <w:left w:w="240" w:type="dxa"/>
              <w:bottom w:w="150" w:type="dxa"/>
              <w:right w:w="240" w:type="dxa"/>
            </w:tcMar>
            <w:vAlign w:val="center"/>
          </w:tcPr>
          <w:p w14:paraId="2971DD50">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铣刨机</w:t>
            </w:r>
          </w:p>
        </w:tc>
        <w:tc>
          <w:tcPr>
            <w:tcW w:w="979" w:type="dxa"/>
            <w:tcMar>
              <w:top w:w="150" w:type="dxa"/>
              <w:left w:w="240" w:type="dxa"/>
              <w:bottom w:w="150" w:type="dxa"/>
              <w:right w:w="240" w:type="dxa"/>
            </w:tcMar>
            <w:vAlign w:val="center"/>
          </w:tcPr>
          <w:p w14:paraId="2674A8BF">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0A38FF2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14601577">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旧路铣刨</w:t>
            </w:r>
          </w:p>
        </w:tc>
        <w:tc>
          <w:tcPr>
            <w:tcW w:w="1787" w:type="dxa"/>
            <w:tcMar>
              <w:top w:w="150" w:type="dxa"/>
              <w:left w:w="240" w:type="dxa"/>
              <w:bottom w:w="150" w:type="dxa"/>
              <w:right w:w="0" w:type="dxa"/>
            </w:tcMar>
            <w:vAlign w:val="center"/>
          </w:tcPr>
          <w:p w14:paraId="58BFDA37">
            <w:pPr>
              <w:widowControl/>
              <w:spacing w:line="300" w:lineRule="auto"/>
              <w:jc w:val="center"/>
              <w:rPr>
                <w:rFonts w:ascii="Times New Roman" w:hAnsi="Times New Roman"/>
                <w:color w:val="000000"/>
                <w:sz w:val="22"/>
                <w:szCs w:val="21"/>
              </w:rPr>
            </w:pPr>
          </w:p>
        </w:tc>
      </w:tr>
      <w:tr w14:paraId="7EF4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77B12533">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2</w:t>
            </w:r>
          </w:p>
        </w:tc>
        <w:tc>
          <w:tcPr>
            <w:tcW w:w="1838" w:type="dxa"/>
            <w:tcMar>
              <w:top w:w="150" w:type="dxa"/>
              <w:left w:w="240" w:type="dxa"/>
              <w:bottom w:w="150" w:type="dxa"/>
              <w:right w:w="240" w:type="dxa"/>
            </w:tcMar>
            <w:vAlign w:val="center"/>
          </w:tcPr>
          <w:p w14:paraId="6CE7260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沥青摊铺机</w:t>
            </w:r>
          </w:p>
        </w:tc>
        <w:tc>
          <w:tcPr>
            <w:tcW w:w="979" w:type="dxa"/>
            <w:tcMar>
              <w:top w:w="150" w:type="dxa"/>
              <w:left w:w="240" w:type="dxa"/>
              <w:bottom w:w="150" w:type="dxa"/>
              <w:right w:w="240" w:type="dxa"/>
            </w:tcMar>
            <w:vAlign w:val="center"/>
          </w:tcPr>
          <w:p w14:paraId="35B1371A">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54B4EFA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742A7633">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沥青面层摊铺</w:t>
            </w:r>
          </w:p>
        </w:tc>
        <w:tc>
          <w:tcPr>
            <w:tcW w:w="1787" w:type="dxa"/>
            <w:tcMar>
              <w:top w:w="150" w:type="dxa"/>
              <w:left w:w="240" w:type="dxa"/>
              <w:bottom w:w="150" w:type="dxa"/>
              <w:right w:w="0" w:type="dxa"/>
            </w:tcMar>
            <w:vAlign w:val="center"/>
          </w:tcPr>
          <w:p w14:paraId="1304D700">
            <w:pPr>
              <w:widowControl/>
              <w:spacing w:line="300" w:lineRule="auto"/>
              <w:jc w:val="center"/>
              <w:rPr>
                <w:rFonts w:ascii="Times New Roman" w:hAnsi="Times New Roman"/>
                <w:color w:val="000000"/>
                <w:sz w:val="22"/>
                <w:szCs w:val="21"/>
              </w:rPr>
            </w:pPr>
          </w:p>
        </w:tc>
      </w:tr>
      <w:tr w14:paraId="3884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54D095C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3</w:t>
            </w:r>
          </w:p>
        </w:tc>
        <w:tc>
          <w:tcPr>
            <w:tcW w:w="1838" w:type="dxa"/>
            <w:tcMar>
              <w:top w:w="150" w:type="dxa"/>
              <w:left w:w="240" w:type="dxa"/>
              <w:bottom w:w="150" w:type="dxa"/>
              <w:right w:w="240" w:type="dxa"/>
            </w:tcMar>
            <w:vAlign w:val="center"/>
          </w:tcPr>
          <w:p w14:paraId="2A086366">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双钢轮压路机</w:t>
            </w:r>
          </w:p>
        </w:tc>
        <w:tc>
          <w:tcPr>
            <w:tcW w:w="979" w:type="dxa"/>
            <w:tcMar>
              <w:top w:w="150" w:type="dxa"/>
              <w:left w:w="240" w:type="dxa"/>
              <w:bottom w:w="150" w:type="dxa"/>
              <w:right w:w="240" w:type="dxa"/>
            </w:tcMar>
            <w:vAlign w:val="center"/>
          </w:tcPr>
          <w:p w14:paraId="34CE657B">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2BC5E431">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7BC0E645">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沥青层压实</w:t>
            </w:r>
          </w:p>
        </w:tc>
        <w:tc>
          <w:tcPr>
            <w:tcW w:w="1787" w:type="dxa"/>
            <w:tcMar>
              <w:top w:w="150" w:type="dxa"/>
              <w:left w:w="240" w:type="dxa"/>
              <w:bottom w:w="150" w:type="dxa"/>
              <w:right w:w="0" w:type="dxa"/>
            </w:tcMar>
            <w:vAlign w:val="center"/>
          </w:tcPr>
          <w:p w14:paraId="40555E9C">
            <w:pPr>
              <w:widowControl/>
              <w:spacing w:line="300" w:lineRule="auto"/>
              <w:jc w:val="center"/>
              <w:rPr>
                <w:rFonts w:ascii="Times New Roman" w:hAnsi="Times New Roman"/>
                <w:color w:val="000000"/>
                <w:sz w:val="22"/>
                <w:szCs w:val="21"/>
              </w:rPr>
            </w:pPr>
          </w:p>
        </w:tc>
      </w:tr>
      <w:tr w14:paraId="5910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1402E28A">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4</w:t>
            </w:r>
          </w:p>
        </w:tc>
        <w:tc>
          <w:tcPr>
            <w:tcW w:w="1838" w:type="dxa"/>
            <w:tcMar>
              <w:top w:w="150" w:type="dxa"/>
              <w:left w:w="240" w:type="dxa"/>
              <w:bottom w:w="150" w:type="dxa"/>
              <w:right w:w="240" w:type="dxa"/>
            </w:tcMar>
            <w:vAlign w:val="center"/>
          </w:tcPr>
          <w:p w14:paraId="6E7B50B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振动压路机</w:t>
            </w:r>
          </w:p>
        </w:tc>
        <w:tc>
          <w:tcPr>
            <w:tcW w:w="979" w:type="dxa"/>
            <w:tcMar>
              <w:top w:w="150" w:type="dxa"/>
              <w:left w:w="240" w:type="dxa"/>
              <w:bottom w:w="150" w:type="dxa"/>
              <w:right w:w="240" w:type="dxa"/>
            </w:tcMar>
            <w:vAlign w:val="center"/>
          </w:tcPr>
          <w:p w14:paraId="28FDADB0">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13F41B1C">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0E8717F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水稳层压实</w:t>
            </w:r>
          </w:p>
        </w:tc>
        <w:tc>
          <w:tcPr>
            <w:tcW w:w="1787" w:type="dxa"/>
            <w:tcMar>
              <w:top w:w="150" w:type="dxa"/>
              <w:left w:w="240" w:type="dxa"/>
              <w:bottom w:w="150" w:type="dxa"/>
              <w:right w:w="0" w:type="dxa"/>
            </w:tcMar>
            <w:vAlign w:val="center"/>
          </w:tcPr>
          <w:p w14:paraId="5AB1911F">
            <w:pPr>
              <w:widowControl/>
              <w:spacing w:line="300" w:lineRule="auto"/>
              <w:jc w:val="center"/>
              <w:rPr>
                <w:rFonts w:ascii="Times New Roman" w:hAnsi="Times New Roman"/>
                <w:color w:val="000000"/>
                <w:sz w:val="22"/>
                <w:szCs w:val="21"/>
              </w:rPr>
            </w:pPr>
          </w:p>
        </w:tc>
      </w:tr>
      <w:tr w14:paraId="28D9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7F24CB5A">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5</w:t>
            </w:r>
          </w:p>
        </w:tc>
        <w:tc>
          <w:tcPr>
            <w:tcW w:w="1838" w:type="dxa"/>
            <w:tcMar>
              <w:top w:w="150" w:type="dxa"/>
              <w:left w:w="240" w:type="dxa"/>
              <w:bottom w:w="150" w:type="dxa"/>
              <w:right w:w="240" w:type="dxa"/>
            </w:tcMar>
            <w:vAlign w:val="center"/>
          </w:tcPr>
          <w:p w14:paraId="512C35EC">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自卸汽车</w:t>
            </w:r>
          </w:p>
        </w:tc>
        <w:tc>
          <w:tcPr>
            <w:tcW w:w="979" w:type="dxa"/>
            <w:tcMar>
              <w:top w:w="150" w:type="dxa"/>
              <w:left w:w="240" w:type="dxa"/>
              <w:bottom w:w="150" w:type="dxa"/>
              <w:right w:w="240" w:type="dxa"/>
            </w:tcMar>
            <w:vAlign w:val="center"/>
          </w:tcPr>
          <w:p w14:paraId="33B0C089">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4ACFBE8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237FB0BE">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沥青</w:t>
            </w:r>
            <w:r>
              <w:rPr>
                <w:rFonts w:ascii="Times New Roman" w:hAnsi="Times New Roman"/>
                <w:color w:val="000000"/>
                <w:sz w:val="22"/>
                <w:szCs w:val="21"/>
              </w:rPr>
              <w:t>材料运输</w:t>
            </w:r>
          </w:p>
        </w:tc>
        <w:tc>
          <w:tcPr>
            <w:tcW w:w="1787" w:type="dxa"/>
            <w:tcMar>
              <w:top w:w="150" w:type="dxa"/>
              <w:left w:w="240" w:type="dxa"/>
              <w:bottom w:w="150" w:type="dxa"/>
              <w:right w:w="0" w:type="dxa"/>
            </w:tcMar>
            <w:vAlign w:val="center"/>
          </w:tcPr>
          <w:p w14:paraId="67A9017C">
            <w:pPr>
              <w:widowControl/>
              <w:spacing w:line="300" w:lineRule="auto"/>
              <w:jc w:val="center"/>
              <w:rPr>
                <w:rFonts w:ascii="Times New Roman" w:hAnsi="Times New Roman"/>
                <w:color w:val="000000"/>
                <w:sz w:val="22"/>
                <w:szCs w:val="21"/>
              </w:rPr>
            </w:pPr>
          </w:p>
        </w:tc>
      </w:tr>
      <w:tr w14:paraId="12B5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48C5F765">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6</w:t>
            </w:r>
          </w:p>
        </w:tc>
        <w:tc>
          <w:tcPr>
            <w:tcW w:w="1838" w:type="dxa"/>
            <w:tcMar>
              <w:top w:w="150" w:type="dxa"/>
              <w:left w:w="240" w:type="dxa"/>
              <w:bottom w:w="150" w:type="dxa"/>
              <w:right w:w="240" w:type="dxa"/>
            </w:tcMar>
            <w:vAlign w:val="center"/>
          </w:tcPr>
          <w:p w14:paraId="264E8CF3">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水稳层</w:t>
            </w:r>
            <w:r>
              <w:rPr>
                <w:rFonts w:ascii="Times New Roman" w:hAnsi="Times New Roman"/>
                <w:color w:val="000000"/>
                <w:sz w:val="22"/>
                <w:szCs w:val="21"/>
              </w:rPr>
              <w:t>摊铺机</w:t>
            </w:r>
          </w:p>
        </w:tc>
        <w:tc>
          <w:tcPr>
            <w:tcW w:w="979" w:type="dxa"/>
            <w:tcMar>
              <w:top w:w="150" w:type="dxa"/>
              <w:left w:w="240" w:type="dxa"/>
              <w:bottom w:w="150" w:type="dxa"/>
              <w:right w:w="240" w:type="dxa"/>
            </w:tcMar>
            <w:vAlign w:val="center"/>
          </w:tcPr>
          <w:p w14:paraId="42F70A07">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680B6E4C">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1E756AEC">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水稳层</w:t>
            </w:r>
          </w:p>
        </w:tc>
        <w:tc>
          <w:tcPr>
            <w:tcW w:w="1787" w:type="dxa"/>
            <w:tcMar>
              <w:top w:w="150" w:type="dxa"/>
              <w:left w:w="240" w:type="dxa"/>
              <w:bottom w:w="150" w:type="dxa"/>
              <w:right w:w="0" w:type="dxa"/>
            </w:tcMar>
            <w:vAlign w:val="center"/>
          </w:tcPr>
          <w:p w14:paraId="6DEACFDF">
            <w:pPr>
              <w:widowControl/>
              <w:spacing w:line="300" w:lineRule="auto"/>
              <w:jc w:val="center"/>
              <w:rPr>
                <w:rFonts w:ascii="Times New Roman" w:hAnsi="Times New Roman"/>
                <w:color w:val="000000"/>
                <w:sz w:val="22"/>
                <w:szCs w:val="21"/>
              </w:rPr>
            </w:pPr>
          </w:p>
        </w:tc>
      </w:tr>
      <w:tr w14:paraId="579F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27EA64B5">
            <w:pPr>
              <w:widowControl/>
              <w:spacing w:line="300" w:lineRule="auto"/>
              <w:jc w:val="center"/>
              <w:rPr>
                <w:rFonts w:hint="eastAsia" w:ascii="Times New Roman" w:hAnsi="Times New Roman" w:eastAsia="等线"/>
                <w:color w:val="000000"/>
                <w:sz w:val="22"/>
                <w:szCs w:val="21"/>
                <w:lang w:val="en-US" w:eastAsia="zh-CN"/>
              </w:rPr>
            </w:pPr>
            <w:r>
              <w:rPr>
                <w:rFonts w:hint="eastAsia" w:ascii="Times New Roman" w:hAnsi="Times New Roman"/>
                <w:color w:val="000000"/>
                <w:sz w:val="22"/>
                <w:szCs w:val="21"/>
                <w:lang w:val="en-US" w:eastAsia="zh-CN"/>
              </w:rPr>
              <w:t>7</w:t>
            </w:r>
          </w:p>
        </w:tc>
        <w:tc>
          <w:tcPr>
            <w:tcW w:w="1838" w:type="dxa"/>
            <w:tcMar>
              <w:top w:w="150" w:type="dxa"/>
              <w:left w:w="240" w:type="dxa"/>
              <w:bottom w:w="150" w:type="dxa"/>
              <w:right w:w="240" w:type="dxa"/>
            </w:tcMar>
            <w:vAlign w:val="center"/>
          </w:tcPr>
          <w:p w14:paraId="2EE3FDFE">
            <w:pPr>
              <w:widowControl/>
              <w:spacing w:line="300" w:lineRule="auto"/>
              <w:jc w:val="center"/>
              <w:rPr>
                <w:rFonts w:hint="eastAsia" w:ascii="Times New Roman" w:hAnsi="Times New Roman" w:eastAsia="等线"/>
                <w:color w:val="000000"/>
                <w:sz w:val="22"/>
                <w:szCs w:val="21"/>
                <w:lang w:val="en-US" w:eastAsia="zh-CN"/>
              </w:rPr>
            </w:pPr>
            <w:r>
              <w:rPr>
                <w:rFonts w:hint="eastAsia" w:ascii="Times New Roman" w:hAnsi="Times New Roman"/>
                <w:color w:val="000000"/>
                <w:sz w:val="22"/>
                <w:szCs w:val="21"/>
                <w:lang w:val="en-US" w:eastAsia="zh-CN"/>
              </w:rPr>
              <w:t>碎石</w:t>
            </w:r>
            <w:r>
              <w:rPr>
                <w:rFonts w:hint="eastAsia" w:ascii="Times New Roman" w:hAnsi="Times New Roman" w:eastAsia="等线"/>
                <w:color w:val="000000"/>
                <w:sz w:val="22"/>
                <w:szCs w:val="21"/>
                <w:lang w:val="en-US" w:eastAsia="zh-CN"/>
              </w:rPr>
              <w:t>封层车</w:t>
            </w:r>
          </w:p>
        </w:tc>
        <w:tc>
          <w:tcPr>
            <w:tcW w:w="979" w:type="dxa"/>
            <w:tcMar>
              <w:top w:w="150" w:type="dxa"/>
              <w:left w:w="240" w:type="dxa"/>
              <w:bottom w:w="150" w:type="dxa"/>
              <w:right w:w="240" w:type="dxa"/>
            </w:tcMar>
            <w:vAlign w:val="center"/>
          </w:tcPr>
          <w:p w14:paraId="63372D7D">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6DE7CA39">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0CDA4FA3">
            <w:pPr>
              <w:widowControl/>
              <w:spacing w:line="300" w:lineRule="auto"/>
              <w:jc w:val="center"/>
              <w:rPr>
                <w:rFonts w:hint="eastAsia" w:ascii="Times New Roman" w:hAnsi="Times New Roman" w:eastAsia="等线"/>
                <w:color w:val="000000"/>
                <w:sz w:val="22"/>
                <w:szCs w:val="21"/>
                <w:lang w:val="en-US" w:eastAsia="zh-CN"/>
              </w:rPr>
            </w:pPr>
            <w:r>
              <w:rPr>
                <w:rFonts w:hint="eastAsia" w:ascii="Times New Roman" w:hAnsi="Times New Roman"/>
                <w:color w:val="000000"/>
                <w:sz w:val="22"/>
                <w:szCs w:val="21"/>
                <w:lang w:val="en-US" w:eastAsia="zh-CN"/>
              </w:rPr>
              <w:t>封层</w:t>
            </w:r>
          </w:p>
        </w:tc>
        <w:tc>
          <w:tcPr>
            <w:tcW w:w="1787" w:type="dxa"/>
            <w:tcMar>
              <w:top w:w="150" w:type="dxa"/>
              <w:left w:w="240" w:type="dxa"/>
              <w:bottom w:w="150" w:type="dxa"/>
              <w:right w:w="0" w:type="dxa"/>
            </w:tcMar>
            <w:vAlign w:val="center"/>
          </w:tcPr>
          <w:p w14:paraId="3504C79A">
            <w:pPr>
              <w:widowControl/>
              <w:spacing w:line="300" w:lineRule="auto"/>
              <w:jc w:val="center"/>
              <w:rPr>
                <w:rFonts w:ascii="Times New Roman" w:hAnsi="Times New Roman"/>
                <w:color w:val="000000"/>
                <w:sz w:val="22"/>
                <w:szCs w:val="21"/>
              </w:rPr>
            </w:pPr>
          </w:p>
        </w:tc>
      </w:tr>
      <w:tr w14:paraId="64E5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60F24CE5">
            <w:pPr>
              <w:widowControl/>
              <w:spacing w:line="300" w:lineRule="auto"/>
              <w:jc w:val="center"/>
              <w:rPr>
                <w:rFonts w:hint="eastAsia" w:ascii="Times New Roman" w:hAnsi="Times New Roman" w:eastAsia="等线"/>
                <w:color w:val="000000"/>
                <w:sz w:val="22"/>
                <w:szCs w:val="21"/>
                <w:lang w:val="en-US" w:eastAsia="zh-CN"/>
              </w:rPr>
            </w:pPr>
            <w:r>
              <w:rPr>
                <w:rFonts w:hint="eastAsia" w:ascii="Times New Roman" w:hAnsi="Times New Roman"/>
                <w:color w:val="000000"/>
                <w:sz w:val="22"/>
                <w:szCs w:val="21"/>
                <w:lang w:val="en-US" w:eastAsia="zh-CN"/>
              </w:rPr>
              <w:t>8</w:t>
            </w:r>
          </w:p>
        </w:tc>
        <w:tc>
          <w:tcPr>
            <w:tcW w:w="1838" w:type="dxa"/>
            <w:tcMar>
              <w:top w:w="150" w:type="dxa"/>
              <w:left w:w="240" w:type="dxa"/>
              <w:bottom w:w="150" w:type="dxa"/>
              <w:right w:w="240" w:type="dxa"/>
            </w:tcMar>
            <w:vAlign w:val="center"/>
          </w:tcPr>
          <w:p w14:paraId="75E7721A">
            <w:pPr>
              <w:widowControl/>
              <w:spacing w:line="300" w:lineRule="auto"/>
              <w:jc w:val="center"/>
              <w:rPr>
                <w:rFonts w:hint="default" w:ascii="Times New Roman" w:hAnsi="Times New Roman"/>
                <w:color w:val="000000"/>
                <w:sz w:val="22"/>
                <w:szCs w:val="21"/>
                <w:lang w:val="en-US"/>
              </w:rPr>
            </w:pPr>
            <w:r>
              <w:rPr>
                <w:rFonts w:hint="eastAsia" w:ascii="Times New Roman" w:hAnsi="Times New Roman" w:eastAsia="等线"/>
                <w:color w:val="000000"/>
                <w:sz w:val="22"/>
                <w:szCs w:val="21"/>
                <w:lang w:val="en-US" w:eastAsia="zh-CN"/>
              </w:rPr>
              <w:t>洒布</w:t>
            </w:r>
            <w:r>
              <w:rPr>
                <w:rFonts w:hint="eastAsia" w:ascii="Times New Roman" w:hAnsi="Times New Roman"/>
                <w:color w:val="000000"/>
                <w:sz w:val="22"/>
                <w:szCs w:val="21"/>
                <w:lang w:val="en-US" w:eastAsia="zh-CN"/>
              </w:rPr>
              <w:t>车</w:t>
            </w:r>
          </w:p>
        </w:tc>
        <w:tc>
          <w:tcPr>
            <w:tcW w:w="979" w:type="dxa"/>
            <w:tcMar>
              <w:top w:w="150" w:type="dxa"/>
              <w:left w:w="240" w:type="dxa"/>
              <w:bottom w:w="150" w:type="dxa"/>
              <w:right w:w="240" w:type="dxa"/>
            </w:tcMar>
            <w:vAlign w:val="center"/>
          </w:tcPr>
          <w:p w14:paraId="196B663F">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7A0FDCB6">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3519245F">
            <w:pPr>
              <w:widowControl/>
              <w:spacing w:line="300" w:lineRule="auto"/>
              <w:jc w:val="center"/>
              <w:rPr>
                <w:rFonts w:hint="default" w:ascii="Times New Roman" w:hAnsi="Times New Roman" w:eastAsia="等线"/>
                <w:color w:val="000000"/>
                <w:sz w:val="22"/>
                <w:szCs w:val="21"/>
                <w:lang w:val="en-US" w:eastAsia="zh-CN"/>
              </w:rPr>
            </w:pPr>
            <w:r>
              <w:rPr>
                <w:rFonts w:hint="eastAsia" w:ascii="Times New Roman" w:hAnsi="Times New Roman"/>
                <w:color w:val="000000"/>
                <w:sz w:val="22"/>
                <w:szCs w:val="21"/>
                <w:lang w:val="en-US" w:eastAsia="zh-CN"/>
              </w:rPr>
              <w:t>渗透层及粘结层</w:t>
            </w:r>
          </w:p>
        </w:tc>
        <w:tc>
          <w:tcPr>
            <w:tcW w:w="1787" w:type="dxa"/>
            <w:tcMar>
              <w:top w:w="150" w:type="dxa"/>
              <w:left w:w="240" w:type="dxa"/>
              <w:bottom w:w="150" w:type="dxa"/>
              <w:right w:w="0" w:type="dxa"/>
            </w:tcMar>
            <w:vAlign w:val="center"/>
          </w:tcPr>
          <w:p w14:paraId="66FF51BD">
            <w:pPr>
              <w:widowControl/>
              <w:spacing w:line="300" w:lineRule="auto"/>
              <w:jc w:val="center"/>
              <w:rPr>
                <w:rFonts w:ascii="Times New Roman" w:hAnsi="Times New Roman"/>
                <w:color w:val="000000"/>
                <w:sz w:val="22"/>
                <w:szCs w:val="21"/>
              </w:rPr>
            </w:pPr>
          </w:p>
        </w:tc>
      </w:tr>
      <w:tr w14:paraId="696E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6" w:hRule="exact"/>
        </w:trPr>
        <w:tc>
          <w:tcPr>
            <w:tcW w:w="1145" w:type="dxa"/>
            <w:tcMar>
              <w:top w:w="150" w:type="dxa"/>
              <w:left w:w="0" w:type="dxa"/>
              <w:bottom w:w="150" w:type="dxa"/>
              <w:right w:w="240" w:type="dxa"/>
            </w:tcMar>
            <w:vAlign w:val="center"/>
          </w:tcPr>
          <w:p w14:paraId="24757B27">
            <w:pPr>
              <w:widowControl/>
              <w:spacing w:line="300" w:lineRule="auto"/>
              <w:jc w:val="center"/>
              <w:rPr>
                <w:rFonts w:ascii="Times New Roman" w:hAnsi="Times New Roman"/>
                <w:color w:val="000000"/>
                <w:sz w:val="22"/>
                <w:szCs w:val="21"/>
              </w:rPr>
            </w:pPr>
          </w:p>
        </w:tc>
        <w:tc>
          <w:tcPr>
            <w:tcW w:w="1838" w:type="dxa"/>
            <w:tcMar>
              <w:top w:w="150" w:type="dxa"/>
              <w:left w:w="240" w:type="dxa"/>
              <w:bottom w:w="150" w:type="dxa"/>
              <w:right w:w="240" w:type="dxa"/>
            </w:tcMar>
            <w:vAlign w:val="center"/>
          </w:tcPr>
          <w:p w14:paraId="30152B65">
            <w:pPr>
              <w:widowControl/>
              <w:spacing w:line="300" w:lineRule="auto"/>
              <w:jc w:val="left"/>
              <w:rPr>
                <w:rFonts w:ascii="Times New Roman" w:hAnsi="Times New Roman"/>
                <w:color w:val="000000"/>
                <w:sz w:val="22"/>
                <w:szCs w:val="21"/>
              </w:rPr>
            </w:pPr>
            <w:r>
              <w:rPr>
                <w:rFonts w:ascii="Times New Roman" w:hAnsi="Times New Roman"/>
                <w:color w:val="000000"/>
                <w:sz w:val="22"/>
                <w:szCs w:val="21"/>
              </w:rPr>
              <w:t>投标人自行增补</w:t>
            </w:r>
          </w:p>
        </w:tc>
        <w:tc>
          <w:tcPr>
            <w:tcW w:w="979" w:type="dxa"/>
            <w:tcMar>
              <w:top w:w="150" w:type="dxa"/>
              <w:left w:w="240" w:type="dxa"/>
              <w:bottom w:w="150" w:type="dxa"/>
              <w:right w:w="240" w:type="dxa"/>
            </w:tcMar>
            <w:vAlign w:val="center"/>
          </w:tcPr>
          <w:p w14:paraId="3E644F5D">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6803F3E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42A27DA6">
            <w:pPr>
              <w:widowControl/>
              <w:spacing w:line="300" w:lineRule="auto"/>
              <w:jc w:val="center"/>
              <w:rPr>
                <w:rFonts w:ascii="Times New Roman" w:hAnsi="Times New Roman"/>
                <w:color w:val="000000"/>
                <w:sz w:val="22"/>
                <w:szCs w:val="21"/>
              </w:rPr>
            </w:pPr>
          </w:p>
        </w:tc>
        <w:tc>
          <w:tcPr>
            <w:tcW w:w="1787" w:type="dxa"/>
            <w:tcMar>
              <w:top w:w="150" w:type="dxa"/>
              <w:left w:w="240" w:type="dxa"/>
              <w:bottom w:w="150" w:type="dxa"/>
              <w:right w:w="0" w:type="dxa"/>
            </w:tcMar>
            <w:vAlign w:val="center"/>
          </w:tcPr>
          <w:p w14:paraId="63F9795D">
            <w:pPr>
              <w:widowControl/>
              <w:spacing w:line="300" w:lineRule="auto"/>
              <w:jc w:val="center"/>
              <w:rPr>
                <w:rFonts w:ascii="Times New Roman" w:hAnsi="Times New Roman"/>
                <w:color w:val="000000"/>
                <w:sz w:val="22"/>
                <w:szCs w:val="21"/>
              </w:rPr>
            </w:pPr>
          </w:p>
        </w:tc>
      </w:tr>
      <w:tr w14:paraId="7DD6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9538" w:type="dxa"/>
            <w:gridSpan w:val="6"/>
            <w:tcMar>
              <w:top w:w="150" w:type="dxa"/>
              <w:left w:w="0" w:type="dxa"/>
              <w:bottom w:w="150" w:type="dxa"/>
              <w:right w:w="240" w:type="dxa"/>
            </w:tcMar>
            <w:vAlign w:val="center"/>
          </w:tcPr>
          <w:p w14:paraId="21B28C71">
            <w:pPr>
              <w:widowControl/>
              <w:tabs>
                <w:tab w:val="left" w:pos="2646"/>
              </w:tabs>
              <w:spacing w:line="300" w:lineRule="auto"/>
              <w:jc w:val="left"/>
              <w:rPr>
                <w:rFonts w:ascii="Times New Roman" w:hAnsi="Times New Roman"/>
                <w:color w:val="000000"/>
                <w:sz w:val="22"/>
                <w:szCs w:val="21"/>
              </w:rPr>
            </w:pPr>
            <w:r>
              <w:rPr>
                <w:rFonts w:ascii="Times New Roman" w:hAnsi="Times New Roman"/>
                <w:color w:val="000000"/>
                <w:sz w:val="22"/>
                <w:szCs w:val="21"/>
              </w:rPr>
              <w:t>投标人应列出为完成本工程所需的所有关键设备</w:t>
            </w:r>
          </w:p>
        </w:tc>
      </w:tr>
    </w:tbl>
    <w:p w14:paraId="6DEAD402">
      <w:pPr>
        <w:pStyle w:val="41"/>
        <w:shd w:val="clear" w:color="auto" w:fill="FFFFFF"/>
        <w:spacing w:line="300" w:lineRule="auto"/>
        <w:rPr>
          <w:rFonts w:eastAsia="等线"/>
          <w:color w:val="000000"/>
          <w:kern w:val="2"/>
          <w:szCs w:val="22"/>
        </w:rPr>
      </w:pPr>
    </w:p>
    <w:p w14:paraId="65695B1E">
      <w:pPr>
        <w:pStyle w:val="41"/>
        <w:shd w:val="clear" w:color="auto" w:fill="FFFFFF"/>
        <w:spacing w:line="300" w:lineRule="auto"/>
        <w:jc w:val="center"/>
        <w:rPr>
          <w:rFonts w:eastAsia="等线"/>
          <w:color w:val="000000"/>
          <w:kern w:val="2"/>
          <w:szCs w:val="22"/>
        </w:rPr>
      </w:pPr>
      <w:r>
        <w:rPr>
          <w:rFonts w:eastAsia="等线"/>
          <w:color w:val="000000"/>
          <w:kern w:val="2"/>
          <w:szCs w:val="22"/>
        </w:rPr>
        <w:t>附表二：劳动力计划表</w:t>
      </w:r>
    </w:p>
    <w:p w14:paraId="0F3C0BF1">
      <w:pPr>
        <w:pStyle w:val="41"/>
        <w:shd w:val="clear" w:color="auto" w:fill="FFFFFF"/>
        <w:spacing w:line="300" w:lineRule="auto"/>
        <w:rPr>
          <w:rFonts w:eastAsia="等线"/>
          <w:color w:val="000000"/>
          <w:kern w:val="2"/>
          <w:szCs w:val="22"/>
        </w:rPr>
      </w:pPr>
      <w:r>
        <w:rPr>
          <w:rFonts w:eastAsia="等线"/>
          <w:color w:val="000000"/>
          <w:kern w:val="2"/>
          <w:szCs w:val="22"/>
        </w:rPr>
        <w:t>单位：人</w:t>
      </w:r>
    </w:p>
    <w:tbl>
      <w:tblPr>
        <w:tblStyle w:val="47"/>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333"/>
        <w:gridCol w:w="2688"/>
        <w:gridCol w:w="2539"/>
      </w:tblGrid>
      <w:tr w14:paraId="53BF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2266" w:type="pct"/>
            <w:tcMar>
              <w:top w:w="150" w:type="dxa"/>
              <w:left w:w="0" w:type="dxa"/>
              <w:bottom w:w="150" w:type="dxa"/>
              <w:right w:w="240" w:type="dxa"/>
            </w:tcMar>
            <w:vAlign w:val="center"/>
          </w:tcPr>
          <w:p w14:paraId="53508438">
            <w:pPr>
              <w:spacing w:line="300" w:lineRule="auto"/>
              <w:jc w:val="center"/>
              <w:rPr>
                <w:rFonts w:ascii="Times New Roman" w:hAnsi="Times New Roman"/>
                <w:color w:val="000000"/>
                <w:sz w:val="22"/>
                <w:szCs w:val="21"/>
              </w:rPr>
            </w:pPr>
            <w:r>
              <w:rPr>
                <w:rFonts w:ascii="Times New Roman" w:hAnsi="Times New Roman"/>
                <w:color w:val="000000"/>
                <w:sz w:val="22"/>
                <w:szCs w:val="21"/>
              </w:rPr>
              <w:t>工种</w:t>
            </w:r>
          </w:p>
        </w:tc>
        <w:tc>
          <w:tcPr>
            <w:tcW w:w="2733" w:type="pct"/>
            <w:gridSpan w:val="2"/>
            <w:tcMar>
              <w:top w:w="150" w:type="dxa"/>
              <w:left w:w="240" w:type="dxa"/>
              <w:bottom w:w="150" w:type="dxa"/>
              <w:right w:w="240" w:type="dxa"/>
            </w:tcMar>
            <w:vAlign w:val="center"/>
          </w:tcPr>
          <w:p w14:paraId="2C817A5F">
            <w:pPr>
              <w:spacing w:line="300" w:lineRule="auto"/>
              <w:jc w:val="center"/>
              <w:rPr>
                <w:rFonts w:ascii="Times New Roman" w:hAnsi="Times New Roman"/>
                <w:color w:val="000000"/>
                <w:sz w:val="22"/>
                <w:szCs w:val="21"/>
              </w:rPr>
            </w:pPr>
            <w:r>
              <w:rPr>
                <w:rFonts w:ascii="Times New Roman" w:hAnsi="Times New Roman"/>
                <w:color w:val="000000"/>
                <w:sz w:val="22"/>
                <w:szCs w:val="21"/>
              </w:rPr>
              <w:t>按工程施工阶段投入劳动力情况</w:t>
            </w:r>
          </w:p>
        </w:tc>
      </w:tr>
      <w:tr w14:paraId="3CF8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26" w:hRule="exact"/>
          <w:jc w:val="center"/>
        </w:trPr>
        <w:tc>
          <w:tcPr>
            <w:tcW w:w="2266" w:type="pct"/>
            <w:tcMar>
              <w:top w:w="150" w:type="dxa"/>
              <w:left w:w="0" w:type="dxa"/>
              <w:bottom w:w="150" w:type="dxa"/>
              <w:right w:w="240" w:type="dxa"/>
            </w:tcMar>
            <w:vAlign w:val="center"/>
          </w:tcPr>
          <w:p w14:paraId="6E637663">
            <w:pPr>
              <w:spacing w:line="300" w:lineRule="auto"/>
              <w:jc w:val="center"/>
              <w:rPr>
                <w:rFonts w:ascii="Times New Roman" w:hAnsi="Times New Roman"/>
                <w:color w:val="000000"/>
                <w:sz w:val="22"/>
                <w:szCs w:val="21"/>
              </w:rPr>
            </w:pPr>
          </w:p>
        </w:tc>
        <w:tc>
          <w:tcPr>
            <w:tcW w:w="1406" w:type="pct"/>
            <w:tcMar>
              <w:top w:w="150" w:type="dxa"/>
              <w:left w:w="240" w:type="dxa"/>
              <w:bottom w:w="150" w:type="dxa"/>
              <w:right w:w="240" w:type="dxa"/>
            </w:tcMar>
            <w:vAlign w:val="center"/>
          </w:tcPr>
          <w:p w14:paraId="235A6CFC">
            <w:pPr>
              <w:spacing w:line="300" w:lineRule="auto"/>
              <w:jc w:val="center"/>
              <w:rPr>
                <w:rFonts w:ascii="Times New Roman" w:hAnsi="Times New Roman"/>
                <w:color w:val="000000"/>
                <w:sz w:val="22"/>
                <w:szCs w:val="21"/>
              </w:rPr>
            </w:pPr>
            <w:r>
              <w:rPr>
                <w:rFonts w:ascii="Times New Roman" w:hAnsi="Times New Roman"/>
                <w:color w:val="000000"/>
                <w:sz w:val="22"/>
                <w:szCs w:val="21"/>
              </w:rPr>
              <w:t>第一阶段</w:t>
            </w:r>
            <w:r>
              <w:rPr>
                <w:rFonts w:ascii="Times New Roman" w:hAnsi="Times New Roman"/>
                <w:color w:val="000000"/>
                <w:sz w:val="22"/>
                <w:szCs w:val="21"/>
              </w:rPr>
              <w:br w:type="textWrapping"/>
            </w:r>
            <w:r>
              <w:rPr>
                <w:rFonts w:ascii="Times New Roman" w:hAnsi="Times New Roman"/>
                <w:color w:val="000000"/>
                <w:sz w:val="22"/>
                <w:szCs w:val="21"/>
              </w:rPr>
              <w:t>（2026.2.1</w:t>
            </w:r>
            <w:r>
              <w:rPr>
                <w:rFonts w:hint="eastAsia" w:ascii="Times New Roman" w:hAnsi="Times New Roman"/>
                <w:color w:val="000000"/>
                <w:sz w:val="22"/>
                <w:szCs w:val="21"/>
              </w:rPr>
              <w:t>3</w:t>
            </w:r>
            <w:r>
              <w:rPr>
                <w:rFonts w:ascii="Times New Roman" w:hAnsi="Times New Roman"/>
                <w:color w:val="000000"/>
                <w:sz w:val="22"/>
                <w:szCs w:val="21"/>
              </w:rPr>
              <w:t>-2.14）</w:t>
            </w:r>
          </w:p>
        </w:tc>
        <w:tc>
          <w:tcPr>
            <w:tcW w:w="1326" w:type="pct"/>
            <w:tcMar>
              <w:top w:w="150" w:type="dxa"/>
              <w:left w:w="240" w:type="dxa"/>
              <w:bottom w:w="150" w:type="dxa"/>
              <w:right w:w="0" w:type="dxa"/>
            </w:tcMar>
            <w:vAlign w:val="center"/>
          </w:tcPr>
          <w:p w14:paraId="3751B0E2">
            <w:pPr>
              <w:spacing w:line="300" w:lineRule="auto"/>
              <w:jc w:val="center"/>
              <w:rPr>
                <w:rFonts w:ascii="Times New Roman" w:hAnsi="Times New Roman"/>
                <w:color w:val="000000"/>
                <w:sz w:val="22"/>
                <w:szCs w:val="21"/>
              </w:rPr>
            </w:pPr>
            <w:r>
              <w:rPr>
                <w:rFonts w:ascii="Times New Roman" w:hAnsi="Times New Roman"/>
                <w:color w:val="000000"/>
                <w:sz w:val="22"/>
                <w:szCs w:val="21"/>
              </w:rPr>
              <w:t>第二阶段</w:t>
            </w:r>
            <w:r>
              <w:rPr>
                <w:rFonts w:ascii="Times New Roman" w:hAnsi="Times New Roman"/>
                <w:color w:val="000000"/>
                <w:sz w:val="22"/>
                <w:szCs w:val="21"/>
              </w:rPr>
              <w:br w:type="textWrapping"/>
            </w:r>
            <w:r>
              <w:rPr>
                <w:rFonts w:ascii="Times New Roman" w:hAnsi="Times New Roman"/>
                <w:color w:val="000000"/>
                <w:sz w:val="22"/>
                <w:szCs w:val="21"/>
              </w:rPr>
              <w:t>（2026.2.24-2.2</w:t>
            </w:r>
            <w:r>
              <w:rPr>
                <w:rFonts w:hint="eastAsia" w:ascii="Times New Roman" w:hAnsi="Times New Roman"/>
                <w:color w:val="000000"/>
                <w:sz w:val="22"/>
                <w:szCs w:val="21"/>
              </w:rPr>
              <w:t>7</w:t>
            </w:r>
            <w:r>
              <w:rPr>
                <w:rFonts w:ascii="Times New Roman" w:hAnsi="Times New Roman"/>
                <w:color w:val="000000"/>
                <w:sz w:val="22"/>
                <w:szCs w:val="21"/>
              </w:rPr>
              <w:t>）</w:t>
            </w:r>
          </w:p>
        </w:tc>
      </w:tr>
      <w:tr w14:paraId="086E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2266" w:type="pct"/>
            <w:tcMar>
              <w:top w:w="150" w:type="dxa"/>
              <w:left w:w="0" w:type="dxa"/>
              <w:bottom w:w="150" w:type="dxa"/>
              <w:right w:w="240" w:type="dxa"/>
            </w:tcMar>
            <w:vAlign w:val="center"/>
          </w:tcPr>
          <w:p w14:paraId="5000D759">
            <w:pPr>
              <w:spacing w:line="300" w:lineRule="auto"/>
              <w:jc w:val="center"/>
              <w:rPr>
                <w:rFonts w:ascii="Times New Roman" w:hAnsi="Times New Roman"/>
                <w:color w:val="000000"/>
                <w:sz w:val="22"/>
                <w:szCs w:val="21"/>
              </w:rPr>
            </w:pPr>
            <w:r>
              <w:rPr>
                <w:rFonts w:ascii="Times New Roman" w:hAnsi="Times New Roman"/>
                <w:color w:val="000000"/>
                <w:sz w:val="22"/>
                <w:szCs w:val="21"/>
              </w:rPr>
              <w:t>项目经理及管理人员</w:t>
            </w:r>
          </w:p>
        </w:tc>
        <w:tc>
          <w:tcPr>
            <w:tcW w:w="1406" w:type="pct"/>
            <w:tcMar>
              <w:top w:w="150" w:type="dxa"/>
              <w:left w:w="240" w:type="dxa"/>
              <w:bottom w:w="150" w:type="dxa"/>
              <w:right w:w="240" w:type="dxa"/>
            </w:tcMar>
            <w:vAlign w:val="center"/>
          </w:tcPr>
          <w:p w14:paraId="41DBB8DE">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65529359">
            <w:pPr>
              <w:spacing w:line="300" w:lineRule="auto"/>
              <w:jc w:val="center"/>
              <w:rPr>
                <w:rFonts w:ascii="Times New Roman" w:hAnsi="Times New Roman"/>
                <w:color w:val="000000"/>
                <w:sz w:val="22"/>
                <w:szCs w:val="21"/>
              </w:rPr>
            </w:pPr>
          </w:p>
        </w:tc>
      </w:tr>
      <w:tr w14:paraId="6825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2266" w:type="pct"/>
            <w:tcMar>
              <w:top w:w="150" w:type="dxa"/>
              <w:left w:w="0" w:type="dxa"/>
              <w:bottom w:w="150" w:type="dxa"/>
              <w:right w:w="240" w:type="dxa"/>
            </w:tcMar>
            <w:vAlign w:val="center"/>
          </w:tcPr>
          <w:p w14:paraId="5823A5EB">
            <w:pPr>
              <w:spacing w:line="300" w:lineRule="auto"/>
              <w:jc w:val="center"/>
              <w:rPr>
                <w:rFonts w:ascii="Times New Roman" w:hAnsi="Times New Roman"/>
                <w:color w:val="000000"/>
                <w:sz w:val="22"/>
                <w:szCs w:val="21"/>
              </w:rPr>
            </w:pPr>
            <w:r>
              <w:rPr>
                <w:rFonts w:ascii="Times New Roman" w:hAnsi="Times New Roman"/>
                <w:color w:val="000000"/>
                <w:sz w:val="22"/>
                <w:szCs w:val="21"/>
              </w:rPr>
              <w:t>机械操作手（各类司机）</w:t>
            </w:r>
          </w:p>
        </w:tc>
        <w:tc>
          <w:tcPr>
            <w:tcW w:w="1406" w:type="pct"/>
            <w:tcMar>
              <w:top w:w="150" w:type="dxa"/>
              <w:left w:w="240" w:type="dxa"/>
              <w:bottom w:w="150" w:type="dxa"/>
              <w:right w:w="240" w:type="dxa"/>
            </w:tcMar>
            <w:vAlign w:val="center"/>
          </w:tcPr>
          <w:p w14:paraId="0B7C770E">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71F98172">
            <w:pPr>
              <w:spacing w:line="300" w:lineRule="auto"/>
              <w:jc w:val="center"/>
              <w:rPr>
                <w:rFonts w:ascii="Times New Roman" w:hAnsi="Times New Roman"/>
                <w:color w:val="000000"/>
                <w:sz w:val="22"/>
                <w:szCs w:val="21"/>
              </w:rPr>
            </w:pPr>
          </w:p>
        </w:tc>
      </w:tr>
      <w:tr w14:paraId="618C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2266" w:type="pct"/>
            <w:tcMar>
              <w:top w:w="150" w:type="dxa"/>
              <w:left w:w="0" w:type="dxa"/>
              <w:bottom w:w="150" w:type="dxa"/>
              <w:right w:w="240" w:type="dxa"/>
            </w:tcMar>
            <w:vAlign w:val="center"/>
          </w:tcPr>
          <w:p w14:paraId="02A2D84A">
            <w:pPr>
              <w:spacing w:line="300" w:lineRule="auto"/>
              <w:jc w:val="center"/>
              <w:rPr>
                <w:rFonts w:ascii="Times New Roman" w:hAnsi="Times New Roman"/>
                <w:color w:val="000000"/>
                <w:sz w:val="22"/>
                <w:szCs w:val="21"/>
              </w:rPr>
            </w:pPr>
            <w:r>
              <w:rPr>
                <w:rFonts w:ascii="Times New Roman" w:hAnsi="Times New Roman"/>
                <w:color w:val="000000"/>
                <w:sz w:val="22"/>
                <w:szCs w:val="21"/>
              </w:rPr>
              <w:t>摊铺工、压路机手</w:t>
            </w:r>
          </w:p>
        </w:tc>
        <w:tc>
          <w:tcPr>
            <w:tcW w:w="1406" w:type="pct"/>
            <w:tcMar>
              <w:top w:w="150" w:type="dxa"/>
              <w:left w:w="240" w:type="dxa"/>
              <w:bottom w:w="150" w:type="dxa"/>
              <w:right w:w="240" w:type="dxa"/>
            </w:tcMar>
            <w:vAlign w:val="center"/>
          </w:tcPr>
          <w:p w14:paraId="3F145359">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2C33F548">
            <w:pPr>
              <w:spacing w:line="300" w:lineRule="auto"/>
              <w:jc w:val="center"/>
              <w:rPr>
                <w:rFonts w:ascii="Times New Roman" w:hAnsi="Times New Roman"/>
                <w:color w:val="000000"/>
                <w:sz w:val="22"/>
                <w:szCs w:val="21"/>
              </w:rPr>
            </w:pPr>
          </w:p>
        </w:tc>
      </w:tr>
      <w:tr w14:paraId="37E7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2266" w:type="pct"/>
            <w:tcMar>
              <w:top w:w="150" w:type="dxa"/>
              <w:left w:w="0" w:type="dxa"/>
              <w:bottom w:w="150" w:type="dxa"/>
              <w:right w:w="240" w:type="dxa"/>
            </w:tcMar>
            <w:vAlign w:val="center"/>
          </w:tcPr>
          <w:p w14:paraId="4D4FA359">
            <w:pPr>
              <w:spacing w:line="300" w:lineRule="auto"/>
              <w:jc w:val="center"/>
              <w:rPr>
                <w:rFonts w:ascii="Times New Roman" w:hAnsi="Times New Roman"/>
                <w:color w:val="000000"/>
                <w:sz w:val="22"/>
                <w:szCs w:val="21"/>
              </w:rPr>
            </w:pPr>
            <w:r>
              <w:rPr>
                <w:rFonts w:ascii="Times New Roman" w:hAnsi="Times New Roman"/>
                <w:color w:val="000000"/>
                <w:sz w:val="22"/>
                <w:szCs w:val="21"/>
              </w:rPr>
              <w:t>普工</w:t>
            </w:r>
          </w:p>
        </w:tc>
        <w:tc>
          <w:tcPr>
            <w:tcW w:w="1406" w:type="pct"/>
            <w:tcMar>
              <w:top w:w="150" w:type="dxa"/>
              <w:left w:w="240" w:type="dxa"/>
              <w:bottom w:w="150" w:type="dxa"/>
              <w:right w:w="240" w:type="dxa"/>
            </w:tcMar>
            <w:vAlign w:val="center"/>
          </w:tcPr>
          <w:p w14:paraId="1E20A27F">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443ED30E">
            <w:pPr>
              <w:spacing w:line="300" w:lineRule="auto"/>
              <w:jc w:val="center"/>
              <w:rPr>
                <w:rFonts w:ascii="Times New Roman" w:hAnsi="Times New Roman"/>
                <w:color w:val="000000"/>
                <w:sz w:val="22"/>
                <w:szCs w:val="21"/>
              </w:rPr>
            </w:pPr>
          </w:p>
        </w:tc>
      </w:tr>
      <w:tr w14:paraId="4F09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2266" w:type="pct"/>
            <w:tcMar>
              <w:top w:w="150" w:type="dxa"/>
              <w:left w:w="0" w:type="dxa"/>
              <w:bottom w:w="150" w:type="dxa"/>
              <w:right w:w="240" w:type="dxa"/>
            </w:tcMar>
            <w:vAlign w:val="center"/>
          </w:tcPr>
          <w:p w14:paraId="3986A48F">
            <w:pPr>
              <w:spacing w:line="300" w:lineRule="auto"/>
              <w:jc w:val="center"/>
              <w:rPr>
                <w:rFonts w:ascii="Times New Roman" w:hAnsi="Times New Roman"/>
                <w:color w:val="000000"/>
                <w:sz w:val="22"/>
                <w:szCs w:val="21"/>
              </w:rPr>
            </w:pPr>
            <w:r>
              <w:rPr>
                <w:rFonts w:ascii="Times New Roman" w:hAnsi="Times New Roman"/>
                <w:color w:val="000000"/>
                <w:sz w:val="22"/>
                <w:szCs w:val="21"/>
              </w:rPr>
              <w:t>电工、试验员等辅助工种</w:t>
            </w:r>
          </w:p>
        </w:tc>
        <w:tc>
          <w:tcPr>
            <w:tcW w:w="1406" w:type="pct"/>
            <w:tcMar>
              <w:top w:w="150" w:type="dxa"/>
              <w:left w:w="240" w:type="dxa"/>
              <w:bottom w:w="150" w:type="dxa"/>
              <w:right w:w="240" w:type="dxa"/>
            </w:tcMar>
            <w:vAlign w:val="center"/>
          </w:tcPr>
          <w:p w14:paraId="71D9B82E">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5C951A5F">
            <w:pPr>
              <w:spacing w:line="300" w:lineRule="auto"/>
              <w:jc w:val="center"/>
              <w:rPr>
                <w:rFonts w:ascii="Times New Roman" w:hAnsi="Times New Roman"/>
                <w:color w:val="000000"/>
                <w:sz w:val="22"/>
                <w:szCs w:val="21"/>
              </w:rPr>
            </w:pPr>
          </w:p>
        </w:tc>
      </w:tr>
      <w:tr w14:paraId="75A0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2266" w:type="pct"/>
            <w:tcMar>
              <w:top w:w="150" w:type="dxa"/>
              <w:left w:w="0" w:type="dxa"/>
              <w:bottom w:w="150" w:type="dxa"/>
              <w:right w:w="240" w:type="dxa"/>
            </w:tcMar>
            <w:vAlign w:val="center"/>
          </w:tcPr>
          <w:p w14:paraId="655E7FBB">
            <w:pPr>
              <w:spacing w:line="300" w:lineRule="auto"/>
              <w:jc w:val="center"/>
              <w:rPr>
                <w:rFonts w:ascii="Times New Roman" w:hAnsi="Times New Roman"/>
                <w:color w:val="000000"/>
                <w:sz w:val="22"/>
                <w:szCs w:val="21"/>
              </w:rPr>
            </w:pPr>
            <w:r>
              <w:rPr>
                <w:rFonts w:ascii="Times New Roman" w:hAnsi="Times New Roman"/>
                <w:color w:val="000000"/>
                <w:sz w:val="22"/>
                <w:szCs w:val="21"/>
              </w:rPr>
              <w:t>合计</w:t>
            </w:r>
          </w:p>
        </w:tc>
        <w:tc>
          <w:tcPr>
            <w:tcW w:w="1406" w:type="pct"/>
            <w:tcMar>
              <w:top w:w="150" w:type="dxa"/>
              <w:left w:w="240" w:type="dxa"/>
              <w:bottom w:w="150" w:type="dxa"/>
              <w:right w:w="240" w:type="dxa"/>
            </w:tcMar>
            <w:vAlign w:val="center"/>
          </w:tcPr>
          <w:p w14:paraId="40AA68EF">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52D1DAE2">
            <w:pPr>
              <w:spacing w:line="300" w:lineRule="auto"/>
              <w:jc w:val="center"/>
              <w:rPr>
                <w:rFonts w:ascii="Times New Roman" w:hAnsi="Times New Roman"/>
                <w:color w:val="000000"/>
                <w:sz w:val="22"/>
                <w:szCs w:val="21"/>
              </w:rPr>
            </w:pPr>
          </w:p>
        </w:tc>
      </w:tr>
      <w:tr w14:paraId="3566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exact"/>
          <w:jc w:val="center"/>
        </w:trPr>
        <w:tc>
          <w:tcPr>
            <w:tcW w:w="5000" w:type="pct"/>
            <w:gridSpan w:val="3"/>
            <w:tcMar>
              <w:top w:w="150" w:type="dxa"/>
              <w:left w:w="0" w:type="dxa"/>
              <w:bottom w:w="150" w:type="dxa"/>
              <w:right w:w="240" w:type="dxa"/>
            </w:tcMar>
            <w:vAlign w:val="center"/>
          </w:tcPr>
          <w:p w14:paraId="2279F69C">
            <w:pPr>
              <w:spacing w:line="300" w:lineRule="auto"/>
              <w:jc w:val="left"/>
              <w:rPr>
                <w:rFonts w:ascii="Times New Roman" w:hAnsi="Times New Roman"/>
                <w:color w:val="000000"/>
                <w:sz w:val="22"/>
                <w:szCs w:val="21"/>
              </w:rPr>
            </w:pPr>
            <w:r>
              <w:rPr>
                <w:rFonts w:ascii="Times New Roman" w:hAnsi="Times New Roman"/>
                <w:color w:val="000000"/>
                <w:sz w:val="22"/>
                <w:szCs w:val="21"/>
              </w:rPr>
              <w:t>投标人应列出各阶段拟投入的具体工种及人数</w:t>
            </w:r>
            <w:r>
              <w:rPr>
                <w:rFonts w:hint="eastAsia" w:ascii="Times New Roman" w:hAnsi="Times New Roman"/>
                <w:color w:val="000000"/>
                <w:sz w:val="22"/>
                <w:szCs w:val="21"/>
              </w:rPr>
              <w:t>，</w:t>
            </w:r>
            <w:r>
              <w:rPr>
                <w:rFonts w:ascii="Times New Roman" w:hAnsi="Times New Roman"/>
                <w:color w:val="000000"/>
                <w:sz w:val="22"/>
                <w:szCs w:val="21"/>
              </w:rPr>
              <w:t>投标人自行增补</w:t>
            </w:r>
          </w:p>
        </w:tc>
      </w:tr>
    </w:tbl>
    <w:p w14:paraId="5B3B7D8E">
      <w:pPr>
        <w:spacing w:line="300" w:lineRule="auto"/>
        <w:rPr>
          <w:rFonts w:hint="eastAsia" w:cs="等线"/>
          <w:color w:val="000000"/>
          <w:sz w:val="24"/>
          <w:szCs w:val="24"/>
        </w:rPr>
      </w:pPr>
      <w:r>
        <w:rPr>
          <w:rFonts w:cs="等线"/>
          <w:color w:val="000000"/>
          <w:sz w:val="24"/>
          <w:szCs w:val="24"/>
        </w:rPr>
        <w:t>附表三：施工进度计划表</w:t>
      </w:r>
      <w:r>
        <w:rPr>
          <w:rFonts w:cs="等线"/>
          <w:color w:val="000000"/>
          <w:sz w:val="24"/>
          <w:szCs w:val="24"/>
        </w:rPr>
        <w:br w:type="textWrapping"/>
      </w:r>
      <w:r>
        <w:rPr>
          <w:rFonts w:cs="等线"/>
          <w:color w:val="000000"/>
          <w:sz w:val="24"/>
          <w:szCs w:val="24"/>
        </w:rPr>
        <w:t>投标人应提交一份施工进度计划横道图，必须清晰反映以下内容：</w:t>
      </w:r>
    </w:p>
    <w:p w14:paraId="226E0EC6">
      <w:pPr>
        <w:spacing w:line="300" w:lineRule="auto"/>
        <w:ind w:firstLine="240" w:firstLineChars="100"/>
        <w:rPr>
          <w:rFonts w:hint="eastAsia" w:cs="等线"/>
          <w:color w:val="000000"/>
          <w:sz w:val="24"/>
          <w:szCs w:val="24"/>
        </w:rPr>
      </w:pPr>
      <w:r>
        <w:rPr>
          <w:rFonts w:hint="eastAsia" w:cs="等线"/>
          <w:color w:val="000000"/>
          <w:sz w:val="24"/>
          <w:szCs w:val="24"/>
        </w:rPr>
        <w:t>1、</w:t>
      </w:r>
      <w:r>
        <w:rPr>
          <w:rFonts w:cs="等线"/>
          <w:color w:val="000000"/>
          <w:sz w:val="24"/>
          <w:szCs w:val="24"/>
          <w:highlight w:val="none"/>
        </w:rPr>
        <w:t>总工期：</w:t>
      </w:r>
      <w:r>
        <w:rPr>
          <w:rFonts w:hint="eastAsia" w:cs="等线"/>
          <w:color w:val="000000"/>
          <w:sz w:val="24"/>
          <w:szCs w:val="24"/>
          <w:highlight w:val="none"/>
        </w:rPr>
        <w:t>6</w:t>
      </w:r>
      <w:r>
        <w:rPr>
          <w:rFonts w:cs="等线"/>
          <w:color w:val="000000"/>
          <w:sz w:val="24"/>
          <w:szCs w:val="24"/>
          <w:highlight w:val="none"/>
        </w:rPr>
        <w:t>个日历日。</w:t>
      </w:r>
    </w:p>
    <w:p w14:paraId="7592ACD0">
      <w:pPr>
        <w:spacing w:line="300" w:lineRule="auto"/>
        <w:ind w:firstLine="240" w:firstLineChars="100"/>
        <w:rPr>
          <w:rFonts w:hint="eastAsia" w:cs="等线"/>
          <w:color w:val="000000"/>
          <w:sz w:val="24"/>
          <w:szCs w:val="24"/>
        </w:rPr>
      </w:pPr>
      <w:r>
        <w:rPr>
          <w:rFonts w:hint="eastAsia" w:cs="等线"/>
          <w:color w:val="000000"/>
          <w:sz w:val="24"/>
          <w:szCs w:val="24"/>
        </w:rPr>
        <w:t>2、工程</w:t>
      </w:r>
      <w:r>
        <w:rPr>
          <w:rFonts w:cs="等线"/>
          <w:color w:val="000000"/>
          <w:sz w:val="24"/>
          <w:szCs w:val="24"/>
        </w:rPr>
        <w:t>节点：</w:t>
      </w:r>
    </w:p>
    <w:p w14:paraId="423E01A7">
      <w:pPr>
        <w:spacing w:line="300" w:lineRule="auto"/>
        <w:ind w:firstLine="480" w:firstLineChars="200"/>
        <w:rPr>
          <w:rFonts w:hint="eastAsia" w:cs="等线"/>
          <w:color w:val="000000"/>
          <w:sz w:val="24"/>
          <w:szCs w:val="24"/>
        </w:rPr>
      </w:pPr>
      <w:r>
        <w:rPr>
          <w:rFonts w:cs="等线"/>
          <w:color w:val="000000"/>
          <w:sz w:val="24"/>
          <w:szCs w:val="24"/>
        </w:rPr>
        <w:t>节点一：2026年2月1</w:t>
      </w:r>
      <w:r>
        <w:rPr>
          <w:rFonts w:hint="eastAsia" w:cs="等线"/>
          <w:color w:val="000000"/>
          <w:sz w:val="24"/>
          <w:szCs w:val="24"/>
        </w:rPr>
        <w:t>3</w:t>
      </w:r>
      <w:r>
        <w:rPr>
          <w:rFonts w:cs="等线"/>
          <w:color w:val="000000"/>
          <w:sz w:val="24"/>
          <w:szCs w:val="24"/>
        </w:rPr>
        <w:t>日至14日，完成“铣刨”和“水稳层铺设</w:t>
      </w:r>
      <w:r>
        <w:rPr>
          <w:rFonts w:hint="eastAsia" w:cs="等线"/>
          <w:color w:val="000000"/>
          <w:sz w:val="24"/>
          <w:szCs w:val="24"/>
        </w:rPr>
        <w:t>及养护覆盖</w:t>
      </w:r>
      <w:r>
        <w:rPr>
          <w:rFonts w:cs="等线"/>
          <w:color w:val="000000"/>
          <w:sz w:val="24"/>
          <w:szCs w:val="24"/>
        </w:rPr>
        <w:t>”。</w:t>
      </w:r>
    </w:p>
    <w:p w14:paraId="0576D478">
      <w:pPr>
        <w:spacing w:line="300" w:lineRule="auto"/>
        <w:ind w:firstLine="480" w:firstLineChars="200"/>
        <w:rPr>
          <w:rFonts w:hint="eastAsia" w:cs="等线"/>
          <w:color w:val="000000"/>
          <w:sz w:val="24"/>
          <w:szCs w:val="24"/>
        </w:rPr>
      </w:pPr>
      <w:r>
        <w:rPr>
          <w:rFonts w:cs="等线"/>
          <w:color w:val="000000"/>
          <w:sz w:val="24"/>
          <w:szCs w:val="24"/>
        </w:rPr>
        <w:t>节点二：2026年2月24日至2</w:t>
      </w:r>
      <w:r>
        <w:rPr>
          <w:rFonts w:hint="eastAsia" w:cs="等线"/>
          <w:color w:val="000000"/>
          <w:sz w:val="24"/>
          <w:szCs w:val="24"/>
        </w:rPr>
        <w:t>7</w:t>
      </w:r>
      <w:r>
        <w:rPr>
          <w:rFonts w:cs="等线"/>
          <w:color w:val="000000"/>
          <w:sz w:val="24"/>
          <w:szCs w:val="24"/>
        </w:rPr>
        <w:t>日，完成“沥青摊铺”。</w:t>
      </w:r>
    </w:p>
    <w:p w14:paraId="6D918D4A">
      <w:pPr>
        <w:pStyle w:val="3"/>
        <w:spacing w:before="0" w:after="0" w:line="300" w:lineRule="auto"/>
        <w:ind w:firstLine="2704" w:firstLineChars="845"/>
        <w:rPr>
          <w:rFonts w:ascii="Times New Roman" w:hAnsi="Times New Roman"/>
          <w:color w:val="000000"/>
          <w:szCs w:val="21"/>
        </w:rPr>
      </w:pPr>
      <w:bookmarkStart w:id="147" w:name="_Toc17298"/>
      <w:bookmarkStart w:id="148" w:name="_Toc246996369"/>
      <w:bookmarkStart w:id="149" w:name="_Toc179632823"/>
      <w:bookmarkStart w:id="150" w:name="_Toc144974871"/>
      <w:bookmarkStart w:id="151" w:name="_Toc246997112"/>
      <w:bookmarkStart w:id="152" w:name="_Toc152042592"/>
      <w:bookmarkStart w:id="153" w:name="_Toc296602614"/>
      <w:bookmarkStart w:id="154" w:name="_Toc247085887"/>
      <w:bookmarkStart w:id="155" w:name="_Toc152045803"/>
      <w:r>
        <w:rPr>
          <w:rFonts w:ascii="Times New Roman" w:hAnsi="Times New Roman"/>
          <w:color w:val="000000"/>
        </w:rPr>
        <w:t>（二）项目管理机构</w:t>
      </w:r>
      <w:bookmarkEnd w:id="147"/>
      <w:bookmarkEnd w:id="148"/>
      <w:bookmarkEnd w:id="149"/>
      <w:bookmarkEnd w:id="150"/>
      <w:bookmarkEnd w:id="151"/>
      <w:bookmarkEnd w:id="152"/>
      <w:bookmarkEnd w:id="153"/>
      <w:bookmarkEnd w:id="154"/>
      <w:bookmarkEnd w:id="155"/>
    </w:p>
    <w:p w14:paraId="03E63650">
      <w:pPr>
        <w:pStyle w:val="4"/>
        <w:spacing w:before="0" w:after="0" w:line="300" w:lineRule="auto"/>
        <w:jc w:val="center"/>
        <w:rPr>
          <w:rFonts w:hint="eastAsia"/>
          <w:color w:val="000000"/>
        </w:rPr>
      </w:pPr>
      <w:bookmarkStart w:id="156" w:name="_Toc179632824"/>
      <w:bookmarkStart w:id="157" w:name="_Toc247085888"/>
      <w:bookmarkStart w:id="158" w:name="_Toc246997113"/>
      <w:bookmarkStart w:id="159" w:name="_Toc246996370"/>
      <w:bookmarkStart w:id="160" w:name="_Toc296602615"/>
      <w:bookmarkStart w:id="161" w:name="_Toc144974872"/>
      <w:bookmarkStart w:id="162" w:name="_Toc21254"/>
      <w:bookmarkStart w:id="163" w:name="_Toc152045804"/>
      <w:bookmarkStart w:id="164" w:name="_Toc152042593"/>
      <w:r>
        <w:rPr>
          <w:color w:val="000000"/>
        </w:rPr>
        <w:t>（1）项目管理机构组成表</w:t>
      </w:r>
      <w:bookmarkEnd w:id="156"/>
      <w:bookmarkEnd w:id="157"/>
      <w:bookmarkEnd w:id="158"/>
      <w:bookmarkEnd w:id="159"/>
      <w:bookmarkEnd w:id="160"/>
      <w:bookmarkEnd w:id="161"/>
      <w:bookmarkEnd w:id="162"/>
      <w:bookmarkEnd w:id="163"/>
      <w:bookmarkEnd w:id="164"/>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721"/>
        <w:gridCol w:w="719"/>
        <w:gridCol w:w="2523"/>
        <w:gridCol w:w="672"/>
      </w:tblGrid>
      <w:tr w14:paraId="249B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7" w:type="dxa"/>
            <w:vMerge w:val="restart"/>
            <w:vAlign w:val="center"/>
          </w:tcPr>
          <w:p w14:paraId="31BE5A3A">
            <w:pPr>
              <w:spacing w:line="300" w:lineRule="auto"/>
              <w:jc w:val="center"/>
              <w:rPr>
                <w:rFonts w:ascii="Times New Roman" w:hAnsi="Times New Roman"/>
                <w:color w:val="000000"/>
                <w:szCs w:val="21"/>
              </w:rPr>
            </w:pPr>
            <w:r>
              <w:rPr>
                <w:rFonts w:ascii="Times New Roman" w:hAnsi="Times New Roman"/>
                <w:color w:val="000000"/>
                <w:szCs w:val="21"/>
              </w:rPr>
              <w:t>职务</w:t>
            </w:r>
          </w:p>
        </w:tc>
        <w:tc>
          <w:tcPr>
            <w:tcW w:w="721" w:type="dxa"/>
            <w:vMerge w:val="restart"/>
            <w:vAlign w:val="center"/>
          </w:tcPr>
          <w:p w14:paraId="6E9841A1">
            <w:pPr>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719" w:type="dxa"/>
            <w:vMerge w:val="restart"/>
            <w:vAlign w:val="center"/>
          </w:tcPr>
          <w:p w14:paraId="621AA02B">
            <w:pPr>
              <w:spacing w:line="300" w:lineRule="auto"/>
              <w:jc w:val="center"/>
              <w:rPr>
                <w:rFonts w:ascii="Times New Roman" w:hAnsi="Times New Roman"/>
                <w:color w:val="000000"/>
                <w:szCs w:val="21"/>
              </w:rPr>
            </w:pPr>
            <w:r>
              <w:rPr>
                <w:rFonts w:ascii="Times New Roman" w:hAnsi="Times New Roman"/>
                <w:color w:val="000000"/>
                <w:szCs w:val="21"/>
              </w:rPr>
              <w:t>职称</w:t>
            </w:r>
          </w:p>
        </w:tc>
        <w:tc>
          <w:tcPr>
            <w:tcW w:w="5763" w:type="dxa"/>
            <w:gridSpan w:val="5"/>
            <w:vAlign w:val="center"/>
          </w:tcPr>
          <w:p w14:paraId="327F7401">
            <w:pPr>
              <w:spacing w:line="300" w:lineRule="auto"/>
              <w:jc w:val="center"/>
              <w:rPr>
                <w:rFonts w:ascii="Times New Roman" w:hAnsi="Times New Roman"/>
                <w:color w:val="000000"/>
                <w:szCs w:val="21"/>
              </w:rPr>
            </w:pPr>
            <w:r>
              <w:rPr>
                <w:rFonts w:ascii="Times New Roman" w:hAnsi="Times New Roman"/>
                <w:color w:val="000000"/>
                <w:szCs w:val="21"/>
              </w:rPr>
              <w:t>执业或职业资格证明</w:t>
            </w:r>
          </w:p>
        </w:tc>
        <w:tc>
          <w:tcPr>
            <w:tcW w:w="672" w:type="dxa"/>
            <w:vAlign w:val="center"/>
          </w:tcPr>
          <w:p w14:paraId="5E9210CB">
            <w:pPr>
              <w:spacing w:line="300" w:lineRule="auto"/>
              <w:jc w:val="center"/>
              <w:rPr>
                <w:rFonts w:ascii="Times New Roman" w:hAnsi="Times New Roman"/>
                <w:color w:val="000000"/>
                <w:szCs w:val="21"/>
              </w:rPr>
            </w:pPr>
            <w:r>
              <w:rPr>
                <w:rFonts w:ascii="Times New Roman" w:hAnsi="Times New Roman"/>
                <w:color w:val="000000"/>
                <w:szCs w:val="21"/>
              </w:rPr>
              <w:t>备注</w:t>
            </w:r>
          </w:p>
        </w:tc>
      </w:tr>
      <w:tr w14:paraId="1C14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7" w:type="dxa"/>
            <w:vMerge w:val="continue"/>
            <w:vAlign w:val="center"/>
          </w:tcPr>
          <w:p w14:paraId="70DC3C04">
            <w:pPr>
              <w:spacing w:line="300" w:lineRule="auto"/>
              <w:jc w:val="center"/>
              <w:rPr>
                <w:rFonts w:ascii="Times New Roman" w:hAnsi="Times New Roman"/>
                <w:color w:val="000000"/>
                <w:szCs w:val="21"/>
              </w:rPr>
            </w:pPr>
          </w:p>
        </w:tc>
        <w:tc>
          <w:tcPr>
            <w:tcW w:w="721" w:type="dxa"/>
            <w:vMerge w:val="continue"/>
            <w:vAlign w:val="center"/>
          </w:tcPr>
          <w:p w14:paraId="4BF76C19">
            <w:pPr>
              <w:spacing w:line="300" w:lineRule="auto"/>
              <w:jc w:val="center"/>
              <w:rPr>
                <w:rFonts w:ascii="Times New Roman" w:hAnsi="Times New Roman"/>
                <w:color w:val="000000"/>
                <w:szCs w:val="21"/>
              </w:rPr>
            </w:pPr>
          </w:p>
        </w:tc>
        <w:tc>
          <w:tcPr>
            <w:tcW w:w="719" w:type="dxa"/>
            <w:vMerge w:val="continue"/>
            <w:vAlign w:val="center"/>
          </w:tcPr>
          <w:p w14:paraId="6DFAE4A7">
            <w:pPr>
              <w:spacing w:line="300" w:lineRule="auto"/>
              <w:jc w:val="center"/>
              <w:rPr>
                <w:rFonts w:ascii="Times New Roman" w:hAnsi="Times New Roman"/>
                <w:color w:val="000000"/>
                <w:szCs w:val="21"/>
              </w:rPr>
            </w:pPr>
          </w:p>
        </w:tc>
        <w:tc>
          <w:tcPr>
            <w:tcW w:w="1081" w:type="dxa"/>
            <w:vAlign w:val="center"/>
          </w:tcPr>
          <w:p w14:paraId="4D22D83F">
            <w:pPr>
              <w:spacing w:line="300" w:lineRule="auto"/>
              <w:jc w:val="center"/>
              <w:rPr>
                <w:rFonts w:ascii="Times New Roman" w:hAnsi="Times New Roman"/>
                <w:color w:val="000000"/>
                <w:szCs w:val="21"/>
              </w:rPr>
            </w:pPr>
            <w:r>
              <w:rPr>
                <w:rFonts w:ascii="Times New Roman" w:hAnsi="Times New Roman"/>
                <w:color w:val="000000"/>
                <w:szCs w:val="21"/>
              </w:rPr>
              <w:t>证书名称</w:t>
            </w:r>
          </w:p>
        </w:tc>
        <w:tc>
          <w:tcPr>
            <w:tcW w:w="719" w:type="dxa"/>
            <w:vAlign w:val="center"/>
          </w:tcPr>
          <w:p w14:paraId="4CCED336">
            <w:pPr>
              <w:spacing w:line="300" w:lineRule="auto"/>
              <w:jc w:val="center"/>
              <w:rPr>
                <w:rFonts w:ascii="Times New Roman" w:hAnsi="Times New Roman"/>
                <w:color w:val="000000"/>
                <w:szCs w:val="21"/>
              </w:rPr>
            </w:pPr>
            <w:r>
              <w:rPr>
                <w:rFonts w:ascii="Times New Roman" w:hAnsi="Times New Roman"/>
                <w:color w:val="000000"/>
                <w:szCs w:val="21"/>
              </w:rPr>
              <w:t>级别</w:t>
            </w:r>
          </w:p>
        </w:tc>
        <w:tc>
          <w:tcPr>
            <w:tcW w:w="721" w:type="dxa"/>
            <w:vAlign w:val="center"/>
          </w:tcPr>
          <w:p w14:paraId="35898ECB">
            <w:pPr>
              <w:spacing w:line="300" w:lineRule="auto"/>
              <w:jc w:val="center"/>
              <w:rPr>
                <w:rFonts w:ascii="Times New Roman" w:hAnsi="Times New Roman"/>
                <w:color w:val="000000"/>
                <w:szCs w:val="21"/>
              </w:rPr>
            </w:pPr>
            <w:r>
              <w:rPr>
                <w:rFonts w:ascii="Times New Roman" w:hAnsi="Times New Roman"/>
                <w:color w:val="000000"/>
                <w:szCs w:val="21"/>
              </w:rPr>
              <w:t>证号</w:t>
            </w:r>
          </w:p>
        </w:tc>
        <w:tc>
          <w:tcPr>
            <w:tcW w:w="719" w:type="dxa"/>
            <w:vAlign w:val="center"/>
          </w:tcPr>
          <w:p w14:paraId="7937C2DB">
            <w:pPr>
              <w:spacing w:line="300" w:lineRule="auto"/>
              <w:jc w:val="center"/>
              <w:rPr>
                <w:rFonts w:ascii="Times New Roman" w:hAnsi="Times New Roman"/>
                <w:color w:val="000000"/>
                <w:szCs w:val="21"/>
              </w:rPr>
            </w:pPr>
            <w:r>
              <w:rPr>
                <w:rFonts w:ascii="Times New Roman" w:hAnsi="Times New Roman"/>
                <w:color w:val="000000"/>
                <w:szCs w:val="21"/>
              </w:rPr>
              <w:t>专业</w:t>
            </w:r>
          </w:p>
        </w:tc>
        <w:tc>
          <w:tcPr>
            <w:tcW w:w="2523" w:type="dxa"/>
            <w:vAlign w:val="center"/>
          </w:tcPr>
          <w:p w14:paraId="6B3B45D7">
            <w:pPr>
              <w:spacing w:line="300" w:lineRule="auto"/>
              <w:jc w:val="center"/>
              <w:rPr>
                <w:rFonts w:ascii="Times New Roman" w:hAnsi="Times New Roman"/>
                <w:color w:val="000000"/>
                <w:szCs w:val="21"/>
              </w:rPr>
            </w:pPr>
            <w:r>
              <w:rPr>
                <w:rFonts w:ascii="Times New Roman" w:hAnsi="Times New Roman"/>
                <w:color w:val="000000"/>
                <w:szCs w:val="21"/>
              </w:rPr>
              <w:t>养老保险</w:t>
            </w:r>
          </w:p>
        </w:tc>
        <w:tc>
          <w:tcPr>
            <w:tcW w:w="672" w:type="dxa"/>
            <w:vAlign w:val="center"/>
          </w:tcPr>
          <w:p w14:paraId="5BF333BA">
            <w:pPr>
              <w:spacing w:line="300" w:lineRule="auto"/>
              <w:jc w:val="center"/>
              <w:rPr>
                <w:rFonts w:ascii="Times New Roman" w:hAnsi="Times New Roman"/>
                <w:color w:val="000000"/>
                <w:szCs w:val="21"/>
              </w:rPr>
            </w:pPr>
          </w:p>
        </w:tc>
      </w:tr>
      <w:tr w14:paraId="4461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52B52E43">
            <w:pPr>
              <w:spacing w:line="300" w:lineRule="auto"/>
              <w:jc w:val="center"/>
              <w:rPr>
                <w:rFonts w:ascii="Times New Roman" w:hAnsi="Times New Roman"/>
                <w:color w:val="000000"/>
                <w:szCs w:val="21"/>
              </w:rPr>
            </w:pPr>
          </w:p>
        </w:tc>
        <w:tc>
          <w:tcPr>
            <w:tcW w:w="721" w:type="dxa"/>
            <w:vAlign w:val="center"/>
          </w:tcPr>
          <w:p w14:paraId="0BBC91A4">
            <w:pPr>
              <w:spacing w:line="300" w:lineRule="auto"/>
              <w:jc w:val="center"/>
              <w:rPr>
                <w:rFonts w:ascii="Times New Roman" w:hAnsi="Times New Roman"/>
                <w:color w:val="000000"/>
                <w:szCs w:val="21"/>
              </w:rPr>
            </w:pPr>
          </w:p>
        </w:tc>
        <w:tc>
          <w:tcPr>
            <w:tcW w:w="719" w:type="dxa"/>
            <w:vAlign w:val="center"/>
          </w:tcPr>
          <w:p w14:paraId="5C2BF720">
            <w:pPr>
              <w:spacing w:line="300" w:lineRule="auto"/>
              <w:jc w:val="center"/>
              <w:rPr>
                <w:rFonts w:ascii="Times New Roman" w:hAnsi="Times New Roman"/>
                <w:color w:val="000000"/>
                <w:szCs w:val="21"/>
              </w:rPr>
            </w:pPr>
          </w:p>
        </w:tc>
        <w:tc>
          <w:tcPr>
            <w:tcW w:w="1081" w:type="dxa"/>
            <w:vAlign w:val="center"/>
          </w:tcPr>
          <w:p w14:paraId="1DB46975">
            <w:pPr>
              <w:spacing w:line="300" w:lineRule="auto"/>
              <w:jc w:val="center"/>
              <w:rPr>
                <w:rFonts w:ascii="Times New Roman" w:hAnsi="Times New Roman"/>
                <w:color w:val="000000"/>
                <w:szCs w:val="21"/>
              </w:rPr>
            </w:pPr>
          </w:p>
        </w:tc>
        <w:tc>
          <w:tcPr>
            <w:tcW w:w="719" w:type="dxa"/>
            <w:vAlign w:val="center"/>
          </w:tcPr>
          <w:p w14:paraId="2D3E7762">
            <w:pPr>
              <w:spacing w:line="300" w:lineRule="auto"/>
              <w:jc w:val="center"/>
              <w:rPr>
                <w:rFonts w:ascii="Times New Roman" w:hAnsi="Times New Roman"/>
                <w:color w:val="000000"/>
                <w:szCs w:val="21"/>
              </w:rPr>
            </w:pPr>
          </w:p>
        </w:tc>
        <w:tc>
          <w:tcPr>
            <w:tcW w:w="721" w:type="dxa"/>
            <w:vAlign w:val="center"/>
          </w:tcPr>
          <w:p w14:paraId="5076C830">
            <w:pPr>
              <w:spacing w:line="300" w:lineRule="auto"/>
              <w:jc w:val="center"/>
              <w:rPr>
                <w:rFonts w:ascii="Times New Roman" w:hAnsi="Times New Roman"/>
                <w:color w:val="000000"/>
                <w:szCs w:val="21"/>
              </w:rPr>
            </w:pPr>
          </w:p>
        </w:tc>
        <w:tc>
          <w:tcPr>
            <w:tcW w:w="719" w:type="dxa"/>
            <w:vAlign w:val="center"/>
          </w:tcPr>
          <w:p w14:paraId="77EAAE41">
            <w:pPr>
              <w:spacing w:line="300" w:lineRule="auto"/>
              <w:jc w:val="center"/>
              <w:rPr>
                <w:rFonts w:ascii="Times New Roman" w:hAnsi="Times New Roman"/>
                <w:color w:val="000000"/>
                <w:szCs w:val="21"/>
              </w:rPr>
            </w:pPr>
          </w:p>
        </w:tc>
        <w:tc>
          <w:tcPr>
            <w:tcW w:w="2523" w:type="dxa"/>
            <w:vAlign w:val="center"/>
          </w:tcPr>
          <w:p w14:paraId="012BE522">
            <w:pPr>
              <w:spacing w:line="300" w:lineRule="auto"/>
              <w:jc w:val="center"/>
              <w:rPr>
                <w:rFonts w:ascii="Times New Roman" w:hAnsi="Times New Roman"/>
                <w:color w:val="000000"/>
                <w:szCs w:val="21"/>
              </w:rPr>
            </w:pPr>
          </w:p>
        </w:tc>
        <w:tc>
          <w:tcPr>
            <w:tcW w:w="672" w:type="dxa"/>
            <w:vAlign w:val="center"/>
          </w:tcPr>
          <w:p w14:paraId="0C020406">
            <w:pPr>
              <w:spacing w:line="300" w:lineRule="auto"/>
              <w:jc w:val="center"/>
              <w:rPr>
                <w:rFonts w:ascii="Times New Roman" w:hAnsi="Times New Roman"/>
                <w:color w:val="000000"/>
                <w:szCs w:val="21"/>
              </w:rPr>
            </w:pPr>
          </w:p>
        </w:tc>
      </w:tr>
      <w:tr w14:paraId="24B2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5BA05455">
            <w:pPr>
              <w:spacing w:line="300" w:lineRule="auto"/>
              <w:jc w:val="center"/>
              <w:rPr>
                <w:rFonts w:ascii="Times New Roman" w:hAnsi="Times New Roman"/>
                <w:color w:val="000000"/>
                <w:szCs w:val="21"/>
              </w:rPr>
            </w:pPr>
          </w:p>
        </w:tc>
        <w:tc>
          <w:tcPr>
            <w:tcW w:w="721" w:type="dxa"/>
          </w:tcPr>
          <w:p w14:paraId="30D01B65">
            <w:pPr>
              <w:spacing w:line="300" w:lineRule="auto"/>
              <w:jc w:val="center"/>
              <w:rPr>
                <w:rFonts w:ascii="Times New Roman" w:hAnsi="Times New Roman"/>
                <w:color w:val="000000"/>
                <w:szCs w:val="21"/>
              </w:rPr>
            </w:pPr>
          </w:p>
        </w:tc>
        <w:tc>
          <w:tcPr>
            <w:tcW w:w="719" w:type="dxa"/>
          </w:tcPr>
          <w:p w14:paraId="3AB7B55A">
            <w:pPr>
              <w:spacing w:line="300" w:lineRule="auto"/>
              <w:jc w:val="center"/>
              <w:rPr>
                <w:rFonts w:ascii="Times New Roman" w:hAnsi="Times New Roman"/>
                <w:color w:val="000000"/>
                <w:szCs w:val="21"/>
              </w:rPr>
            </w:pPr>
          </w:p>
        </w:tc>
        <w:tc>
          <w:tcPr>
            <w:tcW w:w="1081" w:type="dxa"/>
          </w:tcPr>
          <w:p w14:paraId="34B5185C">
            <w:pPr>
              <w:spacing w:line="300" w:lineRule="auto"/>
              <w:jc w:val="center"/>
              <w:rPr>
                <w:rFonts w:ascii="Times New Roman" w:hAnsi="Times New Roman"/>
                <w:color w:val="000000"/>
                <w:szCs w:val="21"/>
              </w:rPr>
            </w:pPr>
          </w:p>
        </w:tc>
        <w:tc>
          <w:tcPr>
            <w:tcW w:w="719" w:type="dxa"/>
          </w:tcPr>
          <w:p w14:paraId="22745305">
            <w:pPr>
              <w:spacing w:line="300" w:lineRule="auto"/>
              <w:jc w:val="center"/>
              <w:rPr>
                <w:rFonts w:ascii="Times New Roman" w:hAnsi="Times New Roman"/>
                <w:color w:val="000000"/>
                <w:szCs w:val="21"/>
              </w:rPr>
            </w:pPr>
          </w:p>
        </w:tc>
        <w:tc>
          <w:tcPr>
            <w:tcW w:w="721" w:type="dxa"/>
          </w:tcPr>
          <w:p w14:paraId="63A1B93C">
            <w:pPr>
              <w:spacing w:line="300" w:lineRule="auto"/>
              <w:jc w:val="center"/>
              <w:rPr>
                <w:rFonts w:ascii="Times New Roman" w:hAnsi="Times New Roman"/>
                <w:color w:val="000000"/>
                <w:szCs w:val="21"/>
              </w:rPr>
            </w:pPr>
          </w:p>
        </w:tc>
        <w:tc>
          <w:tcPr>
            <w:tcW w:w="719" w:type="dxa"/>
          </w:tcPr>
          <w:p w14:paraId="4E4C2B81">
            <w:pPr>
              <w:spacing w:line="300" w:lineRule="auto"/>
              <w:jc w:val="center"/>
              <w:rPr>
                <w:rFonts w:ascii="Times New Roman" w:hAnsi="Times New Roman"/>
                <w:color w:val="000000"/>
                <w:szCs w:val="21"/>
              </w:rPr>
            </w:pPr>
          </w:p>
        </w:tc>
        <w:tc>
          <w:tcPr>
            <w:tcW w:w="2523" w:type="dxa"/>
          </w:tcPr>
          <w:p w14:paraId="5B2DE59A">
            <w:pPr>
              <w:spacing w:line="300" w:lineRule="auto"/>
              <w:jc w:val="center"/>
              <w:rPr>
                <w:rFonts w:ascii="Times New Roman" w:hAnsi="Times New Roman"/>
                <w:color w:val="000000"/>
                <w:szCs w:val="21"/>
              </w:rPr>
            </w:pPr>
          </w:p>
        </w:tc>
        <w:tc>
          <w:tcPr>
            <w:tcW w:w="672" w:type="dxa"/>
          </w:tcPr>
          <w:p w14:paraId="0ACE3AD0">
            <w:pPr>
              <w:spacing w:line="300" w:lineRule="auto"/>
              <w:jc w:val="center"/>
              <w:rPr>
                <w:rFonts w:ascii="Times New Roman" w:hAnsi="Times New Roman"/>
                <w:color w:val="000000"/>
                <w:szCs w:val="21"/>
              </w:rPr>
            </w:pPr>
          </w:p>
        </w:tc>
      </w:tr>
      <w:tr w14:paraId="3FD6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7E3AD0CB">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21" w:type="dxa"/>
          </w:tcPr>
          <w:p w14:paraId="3169095D">
            <w:pPr>
              <w:spacing w:line="300" w:lineRule="auto"/>
              <w:jc w:val="center"/>
              <w:rPr>
                <w:rFonts w:ascii="Times New Roman" w:hAnsi="Times New Roman"/>
                <w:color w:val="000000"/>
                <w:szCs w:val="21"/>
              </w:rPr>
            </w:pPr>
          </w:p>
        </w:tc>
        <w:tc>
          <w:tcPr>
            <w:tcW w:w="719" w:type="dxa"/>
          </w:tcPr>
          <w:p w14:paraId="2598F3F4">
            <w:pPr>
              <w:spacing w:line="300" w:lineRule="auto"/>
              <w:jc w:val="center"/>
              <w:rPr>
                <w:rFonts w:ascii="Times New Roman" w:hAnsi="Times New Roman"/>
                <w:color w:val="000000"/>
                <w:szCs w:val="21"/>
              </w:rPr>
            </w:pPr>
          </w:p>
        </w:tc>
        <w:tc>
          <w:tcPr>
            <w:tcW w:w="1081" w:type="dxa"/>
          </w:tcPr>
          <w:p w14:paraId="77D38FD5">
            <w:pPr>
              <w:spacing w:line="300" w:lineRule="auto"/>
              <w:jc w:val="center"/>
              <w:rPr>
                <w:rFonts w:ascii="Times New Roman" w:hAnsi="Times New Roman"/>
                <w:color w:val="000000"/>
                <w:szCs w:val="21"/>
              </w:rPr>
            </w:pPr>
          </w:p>
        </w:tc>
        <w:tc>
          <w:tcPr>
            <w:tcW w:w="719" w:type="dxa"/>
          </w:tcPr>
          <w:p w14:paraId="0A41E76D">
            <w:pPr>
              <w:spacing w:line="300" w:lineRule="auto"/>
              <w:jc w:val="center"/>
              <w:rPr>
                <w:rFonts w:ascii="Times New Roman" w:hAnsi="Times New Roman"/>
                <w:color w:val="000000"/>
                <w:szCs w:val="21"/>
              </w:rPr>
            </w:pPr>
          </w:p>
        </w:tc>
        <w:tc>
          <w:tcPr>
            <w:tcW w:w="721" w:type="dxa"/>
          </w:tcPr>
          <w:p w14:paraId="1D57FC9E">
            <w:pPr>
              <w:spacing w:line="300" w:lineRule="auto"/>
              <w:jc w:val="center"/>
              <w:rPr>
                <w:rFonts w:ascii="Times New Roman" w:hAnsi="Times New Roman"/>
                <w:color w:val="000000"/>
                <w:szCs w:val="21"/>
              </w:rPr>
            </w:pPr>
          </w:p>
        </w:tc>
        <w:tc>
          <w:tcPr>
            <w:tcW w:w="719" w:type="dxa"/>
          </w:tcPr>
          <w:p w14:paraId="5382FFD5">
            <w:pPr>
              <w:spacing w:line="300" w:lineRule="auto"/>
              <w:jc w:val="center"/>
              <w:rPr>
                <w:rFonts w:ascii="Times New Roman" w:hAnsi="Times New Roman"/>
                <w:color w:val="000000"/>
                <w:szCs w:val="21"/>
              </w:rPr>
            </w:pPr>
          </w:p>
        </w:tc>
        <w:tc>
          <w:tcPr>
            <w:tcW w:w="2523" w:type="dxa"/>
          </w:tcPr>
          <w:p w14:paraId="639D5E53">
            <w:pPr>
              <w:spacing w:line="300" w:lineRule="auto"/>
              <w:jc w:val="center"/>
              <w:rPr>
                <w:rFonts w:ascii="Times New Roman" w:hAnsi="Times New Roman"/>
                <w:color w:val="000000"/>
                <w:szCs w:val="21"/>
              </w:rPr>
            </w:pPr>
          </w:p>
        </w:tc>
        <w:tc>
          <w:tcPr>
            <w:tcW w:w="672" w:type="dxa"/>
          </w:tcPr>
          <w:p w14:paraId="27388F17">
            <w:pPr>
              <w:spacing w:line="300" w:lineRule="auto"/>
              <w:jc w:val="center"/>
              <w:rPr>
                <w:rFonts w:ascii="Times New Roman" w:hAnsi="Times New Roman"/>
                <w:color w:val="000000"/>
                <w:szCs w:val="21"/>
              </w:rPr>
            </w:pPr>
          </w:p>
        </w:tc>
      </w:tr>
      <w:tr w14:paraId="7509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147AA9EF">
            <w:pPr>
              <w:spacing w:line="300" w:lineRule="auto"/>
              <w:jc w:val="center"/>
              <w:rPr>
                <w:rFonts w:ascii="Times New Roman" w:hAnsi="Times New Roman"/>
                <w:color w:val="000000"/>
                <w:szCs w:val="21"/>
              </w:rPr>
            </w:pPr>
          </w:p>
        </w:tc>
        <w:tc>
          <w:tcPr>
            <w:tcW w:w="721" w:type="dxa"/>
          </w:tcPr>
          <w:p w14:paraId="40D5DFB6">
            <w:pPr>
              <w:spacing w:line="300" w:lineRule="auto"/>
              <w:jc w:val="center"/>
              <w:rPr>
                <w:rFonts w:ascii="Times New Roman" w:hAnsi="Times New Roman"/>
                <w:color w:val="000000"/>
                <w:szCs w:val="21"/>
              </w:rPr>
            </w:pPr>
          </w:p>
        </w:tc>
        <w:tc>
          <w:tcPr>
            <w:tcW w:w="719" w:type="dxa"/>
          </w:tcPr>
          <w:p w14:paraId="67F41132">
            <w:pPr>
              <w:spacing w:line="300" w:lineRule="auto"/>
              <w:jc w:val="center"/>
              <w:rPr>
                <w:rFonts w:ascii="Times New Roman" w:hAnsi="Times New Roman"/>
                <w:color w:val="000000"/>
                <w:szCs w:val="21"/>
              </w:rPr>
            </w:pPr>
          </w:p>
        </w:tc>
        <w:tc>
          <w:tcPr>
            <w:tcW w:w="1081" w:type="dxa"/>
          </w:tcPr>
          <w:p w14:paraId="1944A154">
            <w:pPr>
              <w:spacing w:line="300" w:lineRule="auto"/>
              <w:jc w:val="center"/>
              <w:rPr>
                <w:rFonts w:ascii="Times New Roman" w:hAnsi="Times New Roman"/>
                <w:color w:val="000000"/>
                <w:szCs w:val="21"/>
              </w:rPr>
            </w:pPr>
          </w:p>
        </w:tc>
        <w:tc>
          <w:tcPr>
            <w:tcW w:w="719" w:type="dxa"/>
          </w:tcPr>
          <w:p w14:paraId="78EDD826">
            <w:pPr>
              <w:spacing w:line="300" w:lineRule="auto"/>
              <w:jc w:val="center"/>
              <w:rPr>
                <w:rFonts w:ascii="Times New Roman" w:hAnsi="Times New Roman"/>
                <w:color w:val="000000"/>
                <w:szCs w:val="21"/>
              </w:rPr>
            </w:pPr>
          </w:p>
        </w:tc>
        <w:tc>
          <w:tcPr>
            <w:tcW w:w="721" w:type="dxa"/>
          </w:tcPr>
          <w:p w14:paraId="578A1254">
            <w:pPr>
              <w:spacing w:line="300" w:lineRule="auto"/>
              <w:jc w:val="center"/>
              <w:rPr>
                <w:rFonts w:ascii="Times New Roman" w:hAnsi="Times New Roman"/>
                <w:color w:val="000000"/>
                <w:szCs w:val="21"/>
              </w:rPr>
            </w:pPr>
          </w:p>
        </w:tc>
        <w:tc>
          <w:tcPr>
            <w:tcW w:w="719" w:type="dxa"/>
          </w:tcPr>
          <w:p w14:paraId="66EE0957">
            <w:pPr>
              <w:spacing w:line="300" w:lineRule="auto"/>
              <w:jc w:val="center"/>
              <w:rPr>
                <w:rFonts w:ascii="Times New Roman" w:hAnsi="Times New Roman"/>
                <w:color w:val="000000"/>
                <w:szCs w:val="21"/>
              </w:rPr>
            </w:pPr>
          </w:p>
        </w:tc>
        <w:tc>
          <w:tcPr>
            <w:tcW w:w="2523" w:type="dxa"/>
          </w:tcPr>
          <w:p w14:paraId="54E92CDD">
            <w:pPr>
              <w:spacing w:line="300" w:lineRule="auto"/>
              <w:jc w:val="center"/>
              <w:rPr>
                <w:rFonts w:ascii="Times New Roman" w:hAnsi="Times New Roman"/>
                <w:color w:val="000000"/>
                <w:szCs w:val="21"/>
              </w:rPr>
            </w:pPr>
          </w:p>
        </w:tc>
        <w:tc>
          <w:tcPr>
            <w:tcW w:w="672" w:type="dxa"/>
          </w:tcPr>
          <w:p w14:paraId="106B0775">
            <w:pPr>
              <w:spacing w:line="300" w:lineRule="auto"/>
              <w:jc w:val="center"/>
              <w:rPr>
                <w:rFonts w:ascii="Times New Roman" w:hAnsi="Times New Roman"/>
                <w:color w:val="000000"/>
                <w:szCs w:val="21"/>
              </w:rPr>
            </w:pPr>
          </w:p>
        </w:tc>
      </w:tr>
      <w:tr w14:paraId="4DB5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16E091CB">
            <w:pPr>
              <w:spacing w:line="300" w:lineRule="auto"/>
              <w:rPr>
                <w:rFonts w:ascii="Times New Roman" w:hAnsi="Times New Roman"/>
                <w:color w:val="000000"/>
                <w:szCs w:val="21"/>
              </w:rPr>
            </w:pPr>
          </w:p>
        </w:tc>
        <w:tc>
          <w:tcPr>
            <w:tcW w:w="721" w:type="dxa"/>
          </w:tcPr>
          <w:p w14:paraId="4045D49D">
            <w:pPr>
              <w:spacing w:line="300" w:lineRule="auto"/>
              <w:jc w:val="center"/>
              <w:rPr>
                <w:rFonts w:ascii="Times New Roman" w:hAnsi="Times New Roman"/>
                <w:color w:val="000000"/>
                <w:szCs w:val="21"/>
              </w:rPr>
            </w:pPr>
          </w:p>
        </w:tc>
        <w:tc>
          <w:tcPr>
            <w:tcW w:w="719" w:type="dxa"/>
          </w:tcPr>
          <w:p w14:paraId="51FA69E5">
            <w:pPr>
              <w:spacing w:line="300" w:lineRule="auto"/>
              <w:jc w:val="center"/>
              <w:rPr>
                <w:rFonts w:ascii="Times New Roman" w:hAnsi="Times New Roman"/>
                <w:color w:val="000000"/>
                <w:szCs w:val="21"/>
              </w:rPr>
            </w:pPr>
          </w:p>
        </w:tc>
        <w:tc>
          <w:tcPr>
            <w:tcW w:w="1081" w:type="dxa"/>
          </w:tcPr>
          <w:p w14:paraId="0EBD4E63">
            <w:pPr>
              <w:spacing w:line="300" w:lineRule="auto"/>
              <w:jc w:val="center"/>
              <w:rPr>
                <w:rFonts w:ascii="Times New Roman" w:hAnsi="Times New Roman"/>
                <w:color w:val="000000"/>
                <w:szCs w:val="21"/>
              </w:rPr>
            </w:pPr>
          </w:p>
        </w:tc>
        <w:tc>
          <w:tcPr>
            <w:tcW w:w="719" w:type="dxa"/>
          </w:tcPr>
          <w:p w14:paraId="0F74D76D">
            <w:pPr>
              <w:spacing w:line="300" w:lineRule="auto"/>
              <w:jc w:val="center"/>
              <w:rPr>
                <w:rFonts w:ascii="Times New Roman" w:hAnsi="Times New Roman"/>
                <w:color w:val="000000"/>
                <w:szCs w:val="21"/>
              </w:rPr>
            </w:pPr>
          </w:p>
        </w:tc>
        <w:tc>
          <w:tcPr>
            <w:tcW w:w="721" w:type="dxa"/>
          </w:tcPr>
          <w:p w14:paraId="10793190">
            <w:pPr>
              <w:spacing w:line="300" w:lineRule="auto"/>
              <w:jc w:val="center"/>
              <w:rPr>
                <w:rFonts w:ascii="Times New Roman" w:hAnsi="Times New Roman"/>
                <w:color w:val="000000"/>
                <w:szCs w:val="21"/>
              </w:rPr>
            </w:pPr>
          </w:p>
        </w:tc>
        <w:tc>
          <w:tcPr>
            <w:tcW w:w="719" w:type="dxa"/>
          </w:tcPr>
          <w:p w14:paraId="146F274C">
            <w:pPr>
              <w:spacing w:line="300" w:lineRule="auto"/>
              <w:jc w:val="center"/>
              <w:rPr>
                <w:rFonts w:ascii="Times New Roman" w:hAnsi="Times New Roman"/>
                <w:color w:val="000000"/>
                <w:szCs w:val="21"/>
              </w:rPr>
            </w:pPr>
          </w:p>
        </w:tc>
        <w:tc>
          <w:tcPr>
            <w:tcW w:w="2523" w:type="dxa"/>
          </w:tcPr>
          <w:p w14:paraId="07435B1D">
            <w:pPr>
              <w:spacing w:line="300" w:lineRule="auto"/>
              <w:jc w:val="center"/>
              <w:rPr>
                <w:rFonts w:ascii="Times New Roman" w:hAnsi="Times New Roman"/>
                <w:color w:val="000000"/>
                <w:szCs w:val="21"/>
              </w:rPr>
            </w:pPr>
          </w:p>
        </w:tc>
        <w:tc>
          <w:tcPr>
            <w:tcW w:w="672" w:type="dxa"/>
          </w:tcPr>
          <w:p w14:paraId="3E0B2C78">
            <w:pPr>
              <w:spacing w:line="300" w:lineRule="auto"/>
              <w:jc w:val="center"/>
              <w:rPr>
                <w:rFonts w:ascii="Times New Roman" w:hAnsi="Times New Roman"/>
                <w:color w:val="000000"/>
                <w:szCs w:val="21"/>
              </w:rPr>
            </w:pPr>
          </w:p>
        </w:tc>
      </w:tr>
    </w:tbl>
    <w:p w14:paraId="53D159C1">
      <w:pPr>
        <w:pStyle w:val="4"/>
        <w:spacing w:before="0" w:after="0" w:line="300" w:lineRule="auto"/>
        <w:ind w:firstLine="103"/>
        <w:rPr>
          <w:rFonts w:hint="eastAsia"/>
          <w:bCs w:val="0"/>
          <w:color w:val="000000"/>
          <w:sz w:val="21"/>
          <w:szCs w:val="24"/>
        </w:rPr>
      </w:pPr>
      <w:bookmarkStart w:id="165" w:name="_Toc14801"/>
      <w:bookmarkStart w:id="166" w:name="_Toc296602616"/>
      <w:bookmarkStart w:id="167" w:name="_Toc247085889"/>
      <w:bookmarkStart w:id="168" w:name="_Toc152042594"/>
      <w:bookmarkStart w:id="169" w:name="_Toc246996371"/>
      <w:bookmarkStart w:id="170" w:name="_Toc246997114"/>
      <w:bookmarkStart w:id="171" w:name="_Toc144974873"/>
      <w:bookmarkStart w:id="172" w:name="_Toc179632825"/>
      <w:bookmarkStart w:id="173" w:name="_Toc152045805"/>
      <w:r>
        <w:rPr>
          <w:bCs w:val="0"/>
          <w:color w:val="000000"/>
          <w:sz w:val="21"/>
          <w:szCs w:val="24"/>
        </w:rPr>
        <w:t>提供投标单位人员名单及近半年有效社保证明，项目部人员均须在名单中。</w:t>
      </w:r>
      <w:bookmarkEnd w:id="165"/>
    </w:p>
    <w:p w14:paraId="216D19E8">
      <w:pPr>
        <w:pStyle w:val="4"/>
        <w:spacing w:before="0" w:after="0" w:line="300" w:lineRule="auto"/>
        <w:jc w:val="center"/>
        <w:rPr>
          <w:rFonts w:hint="eastAsia"/>
          <w:color w:val="000000"/>
        </w:rPr>
      </w:pPr>
      <w:bookmarkStart w:id="174" w:name="_Toc15345"/>
      <w:r>
        <w:rPr>
          <w:color w:val="000000"/>
        </w:rPr>
        <w:t>（2）项目经理简历表</w:t>
      </w:r>
      <w:bookmarkEnd w:id="166"/>
      <w:bookmarkEnd w:id="167"/>
      <w:bookmarkEnd w:id="168"/>
      <w:bookmarkEnd w:id="169"/>
      <w:bookmarkEnd w:id="170"/>
      <w:bookmarkEnd w:id="171"/>
      <w:bookmarkEnd w:id="172"/>
      <w:bookmarkEnd w:id="173"/>
      <w:bookmarkEnd w:id="174"/>
    </w:p>
    <w:p w14:paraId="7187961F">
      <w:pPr>
        <w:spacing w:line="300" w:lineRule="auto"/>
        <w:ind w:firstLine="420" w:firstLineChars="200"/>
        <w:rPr>
          <w:rFonts w:ascii="Times New Roman" w:hAnsi="Times New Roman"/>
          <w:b/>
          <w:color w:val="00000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72D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Align w:val="center"/>
          </w:tcPr>
          <w:p w14:paraId="79970FFB">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334CFF9A">
            <w:pPr>
              <w:spacing w:line="300" w:lineRule="auto"/>
              <w:jc w:val="center"/>
              <w:rPr>
                <w:rFonts w:ascii="Times New Roman" w:hAnsi="Times New Roman"/>
                <w:color w:val="000000"/>
                <w:szCs w:val="21"/>
              </w:rPr>
            </w:pPr>
          </w:p>
        </w:tc>
        <w:tc>
          <w:tcPr>
            <w:tcW w:w="927" w:type="dxa"/>
            <w:vAlign w:val="center"/>
          </w:tcPr>
          <w:p w14:paraId="2BF694AF">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2DB2B9F8">
            <w:pPr>
              <w:spacing w:line="300" w:lineRule="auto"/>
              <w:jc w:val="center"/>
              <w:rPr>
                <w:rFonts w:ascii="Times New Roman" w:hAnsi="Times New Roman"/>
                <w:color w:val="000000"/>
                <w:szCs w:val="21"/>
              </w:rPr>
            </w:pPr>
          </w:p>
        </w:tc>
        <w:tc>
          <w:tcPr>
            <w:tcW w:w="2130" w:type="dxa"/>
            <w:gridSpan w:val="3"/>
            <w:vAlign w:val="center"/>
          </w:tcPr>
          <w:p w14:paraId="3C95220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40466212">
            <w:pPr>
              <w:spacing w:line="300" w:lineRule="auto"/>
              <w:rPr>
                <w:rFonts w:ascii="Times New Roman" w:hAnsi="Times New Roman"/>
                <w:color w:val="000000"/>
                <w:szCs w:val="21"/>
              </w:rPr>
            </w:pPr>
          </w:p>
        </w:tc>
      </w:tr>
      <w:tr w14:paraId="5C93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573239">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312E83E8">
            <w:pPr>
              <w:spacing w:line="300" w:lineRule="auto"/>
              <w:jc w:val="center"/>
              <w:rPr>
                <w:rFonts w:ascii="Times New Roman" w:hAnsi="Times New Roman"/>
                <w:color w:val="000000"/>
                <w:szCs w:val="21"/>
              </w:rPr>
            </w:pPr>
          </w:p>
        </w:tc>
        <w:tc>
          <w:tcPr>
            <w:tcW w:w="927" w:type="dxa"/>
            <w:vAlign w:val="center"/>
          </w:tcPr>
          <w:p w14:paraId="608734E5">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3E051852">
            <w:pPr>
              <w:spacing w:line="300" w:lineRule="auto"/>
              <w:jc w:val="center"/>
              <w:rPr>
                <w:rFonts w:ascii="Times New Roman" w:hAnsi="Times New Roman"/>
                <w:color w:val="000000"/>
                <w:szCs w:val="21"/>
              </w:rPr>
            </w:pPr>
          </w:p>
        </w:tc>
        <w:tc>
          <w:tcPr>
            <w:tcW w:w="2130" w:type="dxa"/>
            <w:gridSpan w:val="3"/>
            <w:vAlign w:val="center"/>
          </w:tcPr>
          <w:p w14:paraId="6482E78A">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0CF98C9A">
            <w:pPr>
              <w:spacing w:line="300" w:lineRule="auto"/>
              <w:rPr>
                <w:rFonts w:ascii="Times New Roman" w:hAnsi="Times New Roman"/>
                <w:color w:val="000000"/>
                <w:szCs w:val="21"/>
              </w:rPr>
            </w:pPr>
          </w:p>
        </w:tc>
      </w:tr>
      <w:tr w14:paraId="23BD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66A1DFD">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00D27CF">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32AF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2795A387">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0303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09527689">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3B9A29E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24457ADA">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1886B6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362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26080D">
            <w:pPr>
              <w:spacing w:line="300" w:lineRule="auto"/>
              <w:rPr>
                <w:rFonts w:ascii="Times New Roman" w:hAnsi="Times New Roman" w:eastAsia="黑体"/>
                <w:color w:val="000000"/>
                <w:szCs w:val="21"/>
              </w:rPr>
            </w:pPr>
          </w:p>
        </w:tc>
        <w:tc>
          <w:tcPr>
            <w:tcW w:w="3420" w:type="dxa"/>
            <w:gridSpan w:val="4"/>
          </w:tcPr>
          <w:p w14:paraId="260F9D90">
            <w:pPr>
              <w:spacing w:line="300" w:lineRule="auto"/>
              <w:rPr>
                <w:rFonts w:ascii="Times New Roman" w:hAnsi="Times New Roman" w:eastAsia="黑体"/>
                <w:color w:val="000000"/>
                <w:szCs w:val="21"/>
              </w:rPr>
            </w:pPr>
          </w:p>
        </w:tc>
        <w:tc>
          <w:tcPr>
            <w:tcW w:w="1261" w:type="dxa"/>
          </w:tcPr>
          <w:p w14:paraId="401C68B1">
            <w:pPr>
              <w:spacing w:line="300" w:lineRule="auto"/>
              <w:rPr>
                <w:rFonts w:ascii="Times New Roman" w:hAnsi="Times New Roman" w:eastAsia="黑体"/>
                <w:color w:val="000000"/>
                <w:szCs w:val="21"/>
              </w:rPr>
            </w:pPr>
          </w:p>
        </w:tc>
        <w:tc>
          <w:tcPr>
            <w:tcW w:w="2296" w:type="dxa"/>
            <w:gridSpan w:val="2"/>
          </w:tcPr>
          <w:p w14:paraId="1CE91DCD">
            <w:pPr>
              <w:spacing w:line="300" w:lineRule="auto"/>
              <w:rPr>
                <w:rFonts w:ascii="Times New Roman" w:hAnsi="Times New Roman" w:eastAsia="黑体"/>
                <w:color w:val="000000"/>
                <w:szCs w:val="21"/>
              </w:rPr>
            </w:pPr>
          </w:p>
        </w:tc>
      </w:tr>
      <w:tr w14:paraId="20B9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06E903A">
            <w:pPr>
              <w:spacing w:line="300" w:lineRule="auto"/>
              <w:rPr>
                <w:rFonts w:ascii="Times New Roman" w:hAnsi="Times New Roman" w:eastAsia="黑体"/>
                <w:color w:val="000000"/>
                <w:szCs w:val="21"/>
              </w:rPr>
            </w:pPr>
          </w:p>
        </w:tc>
        <w:tc>
          <w:tcPr>
            <w:tcW w:w="3420" w:type="dxa"/>
            <w:gridSpan w:val="4"/>
          </w:tcPr>
          <w:p w14:paraId="0C9FE853">
            <w:pPr>
              <w:spacing w:line="300" w:lineRule="auto"/>
              <w:rPr>
                <w:rFonts w:ascii="Times New Roman" w:hAnsi="Times New Roman" w:eastAsia="黑体"/>
                <w:color w:val="000000"/>
                <w:szCs w:val="21"/>
              </w:rPr>
            </w:pPr>
          </w:p>
        </w:tc>
        <w:tc>
          <w:tcPr>
            <w:tcW w:w="1261" w:type="dxa"/>
          </w:tcPr>
          <w:p w14:paraId="6DA0772A">
            <w:pPr>
              <w:spacing w:line="300" w:lineRule="auto"/>
              <w:rPr>
                <w:rFonts w:ascii="Times New Roman" w:hAnsi="Times New Roman" w:eastAsia="黑体"/>
                <w:color w:val="000000"/>
                <w:szCs w:val="21"/>
              </w:rPr>
            </w:pPr>
          </w:p>
        </w:tc>
        <w:tc>
          <w:tcPr>
            <w:tcW w:w="2296" w:type="dxa"/>
            <w:gridSpan w:val="2"/>
          </w:tcPr>
          <w:p w14:paraId="40087D3F">
            <w:pPr>
              <w:spacing w:line="300" w:lineRule="auto"/>
              <w:rPr>
                <w:rFonts w:ascii="Times New Roman" w:hAnsi="Times New Roman" w:eastAsia="黑体"/>
                <w:color w:val="000000"/>
                <w:szCs w:val="21"/>
              </w:rPr>
            </w:pPr>
          </w:p>
        </w:tc>
      </w:tr>
      <w:tr w14:paraId="1A3D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0C005CF9">
            <w:pPr>
              <w:spacing w:line="300" w:lineRule="auto"/>
              <w:rPr>
                <w:rFonts w:ascii="Times New Roman" w:hAnsi="Times New Roman" w:eastAsia="黑体"/>
                <w:color w:val="000000"/>
                <w:szCs w:val="21"/>
              </w:rPr>
            </w:pPr>
          </w:p>
        </w:tc>
        <w:tc>
          <w:tcPr>
            <w:tcW w:w="3420" w:type="dxa"/>
            <w:gridSpan w:val="4"/>
          </w:tcPr>
          <w:p w14:paraId="04FB82F8">
            <w:pPr>
              <w:spacing w:line="300" w:lineRule="auto"/>
              <w:rPr>
                <w:rFonts w:ascii="Times New Roman" w:hAnsi="Times New Roman" w:eastAsia="黑体"/>
                <w:color w:val="000000"/>
                <w:szCs w:val="21"/>
              </w:rPr>
            </w:pPr>
          </w:p>
        </w:tc>
        <w:tc>
          <w:tcPr>
            <w:tcW w:w="1261" w:type="dxa"/>
          </w:tcPr>
          <w:p w14:paraId="3FDC14A6">
            <w:pPr>
              <w:spacing w:line="300" w:lineRule="auto"/>
              <w:rPr>
                <w:rFonts w:ascii="Times New Roman" w:hAnsi="Times New Roman" w:eastAsia="黑体"/>
                <w:color w:val="000000"/>
                <w:szCs w:val="21"/>
              </w:rPr>
            </w:pPr>
          </w:p>
        </w:tc>
        <w:tc>
          <w:tcPr>
            <w:tcW w:w="2296" w:type="dxa"/>
            <w:gridSpan w:val="2"/>
          </w:tcPr>
          <w:p w14:paraId="7910F2C0">
            <w:pPr>
              <w:spacing w:line="300" w:lineRule="auto"/>
              <w:rPr>
                <w:rFonts w:ascii="Times New Roman" w:hAnsi="Times New Roman" w:eastAsia="黑体"/>
                <w:color w:val="000000"/>
                <w:szCs w:val="21"/>
              </w:rPr>
            </w:pPr>
          </w:p>
        </w:tc>
      </w:tr>
      <w:tr w14:paraId="4B22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C9989B1">
            <w:pPr>
              <w:spacing w:line="300" w:lineRule="auto"/>
              <w:rPr>
                <w:rFonts w:ascii="Times New Roman" w:hAnsi="Times New Roman" w:eastAsia="黑体"/>
                <w:color w:val="000000"/>
                <w:szCs w:val="21"/>
              </w:rPr>
            </w:pPr>
            <w:r>
              <w:rPr>
                <w:rFonts w:ascii="Times New Roman" w:hAnsi="Times New Roman" w:eastAsia="黑体"/>
                <w:color w:val="000000"/>
                <w:szCs w:val="21"/>
              </w:rPr>
              <w:t>……</w:t>
            </w:r>
          </w:p>
        </w:tc>
        <w:tc>
          <w:tcPr>
            <w:tcW w:w="3420" w:type="dxa"/>
            <w:gridSpan w:val="4"/>
          </w:tcPr>
          <w:p w14:paraId="39443B3F">
            <w:pPr>
              <w:spacing w:line="300" w:lineRule="auto"/>
              <w:rPr>
                <w:rFonts w:ascii="Times New Roman" w:hAnsi="Times New Roman" w:eastAsia="黑体"/>
                <w:color w:val="000000"/>
                <w:szCs w:val="21"/>
              </w:rPr>
            </w:pPr>
          </w:p>
        </w:tc>
        <w:tc>
          <w:tcPr>
            <w:tcW w:w="1261" w:type="dxa"/>
          </w:tcPr>
          <w:p w14:paraId="09A1A19A">
            <w:pPr>
              <w:spacing w:line="300" w:lineRule="auto"/>
              <w:rPr>
                <w:rFonts w:ascii="Times New Roman" w:hAnsi="Times New Roman" w:eastAsia="黑体"/>
                <w:color w:val="000000"/>
                <w:szCs w:val="21"/>
              </w:rPr>
            </w:pPr>
          </w:p>
        </w:tc>
        <w:tc>
          <w:tcPr>
            <w:tcW w:w="2296" w:type="dxa"/>
            <w:gridSpan w:val="2"/>
          </w:tcPr>
          <w:p w14:paraId="18C14FE3">
            <w:pPr>
              <w:spacing w:line="300" w:lineRule="auto"/>
              <w:rPr>
                <w:rFonts w:ascii="Times New Roman" w:hAnsi="Times New Roman" w:eastAsia="黑体"/>
                <w:color w:val="000000"/>
                <w:szCs w:val="21"/>
              </w:rPr>
            </w:pPr>
          </w:p>
        </w:tc>
      </w:tr>
    </w:tbl>
    <w:p w14:paraId="05C04AF2">
      <w:pPr>
        <w:widowControl/>
        <w:ind w:firstLine="420" w:firstLineChars="200"/>
        <w:jc w:val="left"/>
        <w:rPr>
          <w:rFonts w:hint="eastAsia" w:ascii="宋体" w:hAnsi="宋体" w:eastAsia="宋体" w:cs="宋体"/>
          <w:color w:val="000000"/>
          <w:kern w:val="0"/>
          <w:szCs w:val="21"/>
        </w:rPr>
      </w:pPr>
      <w:bookmarkStart w:id="175" w:name="_Toc246996372"/>
      <w:bookmarkStart w:id="176" w:name="_Toc144974875"/>
      <w:bookmarkStart w:id="177" w:name="_Toc247085890"/>
      <w:bookmarkStart w:id="178" w:name="_Toc296602617"/>
      <w:bookmarkStart w:id="179" w:name="_Toc179632827"/>
      <w:bookmarkStart w:id="180" w:name="_Toc152042596"/>
      <w:bookmarkStart w:id="181" w:name="_Toc246997115"/>
      <w:bookmarkStart w:id="182" w:name="_Toc152045807"/>
      <w:r>
        <w:rPr>
          <w:rFonts w:hint="eastAsia" w:ascii="宋体" w:hAnsi="宋体" w:eastAsia="宋体" w:cs="宋体"/>
          <w:color w:val="000000"/>
          <w:kern w:val="0"/>
          <w:szCs w:val="21"/>
        </w:rPr>
        <w:t xml:space="preserve">项目经理应附建造师执业注册证书、安全生产考核合格证书、身份证、职称证、最近 3 个月 </w:t>
      </w:r>
    </w:p>
    <w:p w14:paraId="3D07E0BC">
      <w:pPr>
        <w:widowControl/>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养老保险复印件及未担任其他在施建设工程项目项目经理的承诺书，管理过的项目业绩须附 </w:t>
      </w:r>
    </w:p>
    <w:p w14:paraId="72455653">
      <w:pPr>
        <w:widowControl/>
        <w:ind w:firstLine="420" w:firstLineChars="200"/>
        <w:jc w:val="left"/>
        <w:rPr>
          <w:rFonts w:hint="eastAsia"/>
          <w:color w:val="000000"/>
        </w:rPr>
      </w:pPr>
      <w:r>
        <w:rPr>
          <w:rFonts w:hint="eastAsia" w:ascii="宋体" w:hAnsi="宋体" w:eastAsia="宋体" w:cs="宋体"/>
          <w:color w:val="000000"/>
          <w:kern w:val="0"/>
          <w:szCs w:val="21"/>
        </w:rPr>
        <w:t>合同协议书和竣工验收证明复印件。类似项目限于以项目经理身份参与的项目。</w:t>
      </w:r>
    </w:p>
    <w:p w14:paraId="690D99AC">
      <w:pPr>
        <w:pStyle w:val="4"/>
        <w:numPr>
          <w:ilvl w:val="0"/>
          <w:numId w:val="8"/>
        </w:numPr>
        <w:spacing w:before="0" w:after="0" w:line="300" w:lineRule="auto"/>
        <w:jc w:val="center"/>
        <w:rPr>
          <w:rFonts w:hint="eastAsia"/>
          <w:color w:val="000000"/>
        </w:rPr>
      </w:pPr>
      <w:bookmarkStart w:id="183" w:name="_Toc28731"/>
      <w:r>
        <w:rPr>
          <w:color w:val="000000"/>
        </w:rPr>
        <w:t>项目主要管理人员简历表</w:t>
      </w:r>
      <w:bookmarkEnd w:id="183"/>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7F8B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CD4E80">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6449575E">
            <w:pPr>
              <w:spacing w:line="300" w:lineRule="auto"/>
              <w:jc w:val="center"/>
              <w:rPr>
                <w:rFonts w:ascii="Times New Roman" w:hAnsi="Times New Roman"/>
                <w:color w:val="000000"/>
                <w:szCs w:val="21"/>
              </w:rPr>
            </w:pPr>
          </w:p>
        </w:tc>
        <w:tc>
          <w:tcPr>
            <w:tcW w:w="927" w:type="dxa"/>
            <w:vAlign w:val="center"/>
          </w:tcPr>
          <w:p w14:paraId="6CA9AD4D">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446A625A">
            <w:pPr>
              <w:spacing w:line="300" w:lineRule="auto"/>
              <w:jc w:val="center"/>
              <w:rPr>
                <w:rFonts w:ascii="Times New Roman" w:hAnsi="Times New Roman"/>
                <w:color w:val="000000"/>
                <w:szCs w:val="21"/>
              </w:rPr>
            </w:pPr>
          </w:p>
        </w:tc>
        <w:tc>
          <w:tcPr>
            <w:tcW w:w="2130" w:type="dxa"/>
            <w:gridSpan w:val="3"/>
            <w:vAlign w:val="center"/>
          </w:tcPr>
          <w:p w14:paraId="404BE87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3B211769">
            <w:pPr>
              <w:spacing w:line="300" w:lineRule="auto"/>
              <w:rPr>
                <w:rFonts w:ascii="Times New Roman" w:hAnsi="Times New Roman"/>
                <w:color w:val="000000"/>
                <w:szCs w:val="21"/>
              </w:rPr>
            </w:pPr>
          </w:p>
        </w:tc>
      </w:tr>
      <w:tr w14:paraId="46EC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44D2061">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0DDFF1B3">
            <w:pPr>
              <w:spacing w:line="300" w:lineRule="auto"/>
              <w:jc w:val="center"/>
              <w:rPr>
                <w:rFonts w:ascii="Times New Roman" w:hAnsi="Times New Roman"/>
                <w:color w:val="000000"/>
                <w:szCs w:val="21"/>
              </w:rPr>
            </w:pPr>
          </w:p>
        </w:tc>
        <w:tc>
          <w:tcPr>
            <w:tcW w:w="927" w:type="dxa"/>
            <w:vAlign w:val="center"/>
          </w:tcPr>
          <w:p w14:paraId="634805F0">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5D18C4F1">
            <w:pPr>
              <w:spacing w:line="300" w:lineRule="auto"/>
              <w:jc w:val="center"/>
              <w:rPr>
                <w:rFonts w:ascii="Times New Roman" w:hAnsi="Times New Roman"/>
                <w:color w:val="000000"/>
                <w:szCs w:val="21"/>
              </w:rPr>
            </w:pPr>
          </w:p>
        </w:tc>
        <w:tc>
          <w:tcPr>
            <w:tcW w:w="2130" w:type="dxa"/>
            <w:gridSpan w:val="3"/>
            <w:vAlign w:val="center"/>
          </w:tcPr>
          <w:p w14:paraId="1A483BF4">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6030B06B">
            <w:pPr>
              <w:spacing w:line="300" w:lineRule="auto"/>
              <w:rPr>
                <w:rFonts w:ascii="Times New Roman" w:hAnsi="Times New Roman"/>
                <w:color w:val="000000"/>
                <w:szCs w:val="21"/>
              </w:rPr>
            </w:pPr>
          </w:p>
        </w:tc>
      </w:tr>
      <w:tr w14:paraId="1449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7C9715E">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60EE3E3">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49C7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5BFE6725">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6857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1400CFA3">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7E2A699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3C20D936">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5339B8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44EF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7B3154BA">
            <w:pPr>
              <w:spacing w:line="300" w:lineRule="auto"/>
              <w:rPr>
                <w:rFonts w:ascii="Times New Roman" w:hAnsi="Times New Roman" w:eastAsia="黑体"/>
                <w:color w:val="000000"/>
                <w:szCs w:val="21"/>
              </w:rPr>
            </w:pPr>
          </w:p>
        </w:tc>
        <w:tc>
          <w:tcPr>
            <w:tcW w:w="3420" w:type="dxa"/>
            <w:gridSpan w:val="4"/>
          </w:tcPr>
          <w:p w14:paraId="2E8C5CF5">
            <w:pPr>
              <w:spacing w:line="300" w:lineRule="auto"/>
              <w:rPr>
                <w:rFonts w:ascii="Times New Roman" w:hAnsi="Times New Roman" w:eastAsia="黑体"/>
                <w:color w:val="000000"/>
                <w:szCs w:val="21"/>
              </w:rPr>
            </w:pPr>
          </w:p>
        </w:tc>
        <w:tc>
          <w:tcPr>
            <w:tcW w:w="1261" w:type="dxa"/>
          </w:tcPr>
          <w:p w14:paraId="59D6E05E">
            <w:pPr>
              <w:spacing w:line="300" w:lineRule="auto"/>
              <w:rPr>
                <w:rFonts w:ascii="Times New Roman" w:hAnsi="Times New Roman" w:eastAsia="黑体"/>
                <w:color w:val="000000"/>
                <w:szCs w:val="21"/>
              </w:rPr>
            </w:pPr>
          </w:p>
        </w:tc>
        <w:tc>
          <w:tcPr>
            <w:tcW w:w="2296" w:type="dxa"/>
            <w:gridSpan w:val="2"/>
          </w:tcPr>
          <w:p w14:paraId="236A6D49">
            <w:pPr>
              <w:spacing w:line="300" w:lineRule="auto"/>
              <w:rPr>
                <w:rFonts w:ascii="Times New Roman" w:hAnsi="Times New Roman" w:eastAsia="黑体"/>
                <w:color w:val="000000"/>
                <w:szCs w:val="21"/>
              </w:rPr>
            </w:pPr>
          </w:p>
        </w:tc>
      </w:tr>
      <w:tr w14:paraId="2954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DA9DEC5">
            <w:pPr>
              <w:spacing w:line="300" w:lineRule="auto"/>
              <w:rPr>
                <w:rFonts w:ascii="Times New Roman" w:hAnsi="Times New Roman" w:eastAsia="黑体"/>
                <w:color w:val="000000"/>
                <w:szCs w:val="21"/>
              </w:rPr>
            </w:pPr>
          </w:p>
        </w:tc>
        <w:tc>
          <w:tcPr>
            <w:tcW w:w="3420" w:type="dxa"/>
            <w:gridSpan w:val="4"/>
          </w:tcPr>
          <w:p w14:paraId="68D3F2D2">
            <w:pPr>
              <w:spacing w:line="300" w:lineRule="auto"/>
              <w:rPr>
                <w:rFonts w:ascii="Times New Roman" w:hAnsi="Times New Roman" w:eastAsia="黑体"/>
                <w:color w:val="000000"/>
                <w:szCs w:val="21"/>
              </w:rPr>
            </w:pPr>
          </w:p>
        </w:tc>
        <w:tc>
          <w:tcPr>
            <w:tcW w:w="1261" w:type="dxa"/>
          </w:tcPr>
          <w:p w14:paraId="26175887">
            <w:pPr>
              <w:spacing w:line="300" w:lineRule="auto"/>
              <w:rPr>
                <w:rFonts w:ascii="Times New Roman" w:hAnsi="Times New Roman" w:eastAsia="黑体"/>
                <w:color w:val="000000"/>
                <w:szCs w:val="21"/>
              </w:rPr>
            </w:pPr>
          </w:p>
        </w:tc>
        <w:tc>
          <w:tcPr>
            <w:tcW w:w="2296" w:type="dxa"/>
            <w:gridSpan w:val="2"/>
          </w:tcPr>
          <w:p w14:paraId="68ABFEA5">
            <w:pPr>
              <w:spacing w:line="300" w:lineRule="auto"/>
              <w:rPr>
                <w:rFonts w:ascii="Times New Roman" w:hAnsi="Times New Roman" w:eastAsia="黑体"/>
                <w:color w:val="000000"/>
                <w:szCs w:val="21"/>
              </w:rPr>
            </w:pPr>
          </w:p>
        </w:tc>
      </w:tr>
      <w:tr w14:paraId="1F1B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C8ED18">
            <w:pPr>
              <w:spacing w:line="300" w:lineRule="auto"/>
              <w:rPr>
                <w:rFonts w:ascii="Times New Roman" w:hAnsi="Times New Roman" w:eastAsia="黑体"/>
                <w:color w:val="000000"/>
                <w:szCs w:val="21"/>
              </w:rPr>
            </w:pPr>
          </w:p>
        </w:tc>
        <w:tc>
          <w:tcPr>
            <w:tcW w:w="3420" w:type="dxa"/>
            <w:gridSpan w:val="4"/>
          </w:tcPr>
          <w:p w14:paraId="0F3C857E">
            <w:pPr>
              <w:spacing w:line="300" w:lineRule="auto"/>
              <w:rPr>
                <w:rFonts w:ascii="Times New Roman" w:hAnsi="Times New Roman" w:eastAsia="黑体"/>
                <w:color w:val="000000"/>
                <w:szCs w:val="21"/>
              </w:rPr>
            </w:pPr>
          </w:p>
        </w:tc>
        <w:tc>
          <w:tcPr>
            <w:tcW w:w="1261" w:type="dxa"/>
          </w:tcPr>
          <w:p w14:paraId="1FD9E919">
            <w:pPr>
              <w:spacing w:line="300" w:lineRule="auto"/>
              <w:rPr>
                <w:rFonts w:ascii="Times New Roman" w:hAnsi="Times New Roman" w:eastAsia="黑体"/>
                <w:color w:val="000000"/>
                <w:szCs w:val="21"/>
              </w:rPr>
            </w:pPr>
          </w:p>
        </w:tc>
        <w:tc>
          <w:tcPr>
            <w:tcW w:w="2296" w:type="dxa"/>
            <w:gridSpan w:val="2"/>
          </w:tcPr>
          <w:p w14:paraId="05D03203">
            <w:pPr>
              <w:spacing w:line="300" w:lineRule="auto"/>
              <w:rPr>
                <w:rFonts w:ascii="Times New Roman" w:hAnsi="Times New Roman" w:eastAsia="黑体"/>
                <w:color w:val="000000"/>
                <w:szCs w:val="21"/>
              </w:rPr>
            </w:pPr>
          </w:p>
        </w:tc>
      </w:tr>
    </w:tbl>
    <w:p w14:paraId="5DDB0CC6">
      <w:pPr>
        <w:widowControl/>
        <w:ind w:firstLine="420" w:firstLineChars="200"/>
        <w:jc w:val="left"/>
        <w:rPr>
          <w:rFonts w:hint="eastAsia"/>
        </w:rPr>
      </w:pPr>
      <w:r>
        <w:rPr>
          <w:rFonts w:hint="eastAsia" w:ascii="宋体" w:hAnsi="宋体" w:eastAsia="宋体" w:cs="宋体"/>
          <w:color w:val="000000"/>
          <w:kern w:val="0"/>
          <w:szCs w:val="21"/>
        </w:rPr>
        <w:t xml:space="preserve">主要项目管理人员指技术负责人、专职施工员、安全员（C 证）等岗位人员。应附岗位证书、身份证、相关部门开具的近 3 个月养老保险证明资料复印件，专职安全员应附安全生产考核合格证书（C 证），主要业绩须 </w:t>
      </w:r>
    </w:p>
    <w:p w14:paraId="3785EA3D">
      <w:pPr>
        <w:widowControl/>
        <w:ind w:firstLine="420" w:firstLineChars="200"/>
        <w:jc w:val="left"/>
        <w:rPr>
          <w:rFonts w:hint="eastAsia"/>
          <w:highlight w:val="none"/>
        </w:rPr>
      </w:pPr>
      <w:r>
        <w:rPr>
          <w:rFonts w:hint="eastAsia" w:ascii="宋体" w:hAnsi="宋体" w:eastAsia="宋体" w:cs="宋体"/>
          <w:color w:val="000000"/>
          <w:kern w:val="0"/>
          <w:szCs w:val="21"/>
          <w:highlight w:val="none"/>
        </w:rPr>
        <w:t>附合同协议书。</w:t>
      </w:r>
    </w:p>
    <w:p w14:paraId="0D166784">
      <w:pPr>
        <w:rPr>
          <w:rFonts w:ascii="Times New Roman" w:hAnsi="Times New Roman"/>
          <w:color w:val="000000"/>
        </w:rPr>
      </w:pPr>
      <w:r>
        <w:rPr>
          <w:rFonts w:ascii="Times New Roman" w:hAnsi="Times New Roman"/>
          <w:color w:val="000000"/>
        </w:rPr>
        <w:br w:type="page"/>
      </w:r>
    </w:p>
    <w:p w14:paraId="1C386555">
      <w:pPr>
        <w:pStyle w:val="3"/>
        <w:numPr>
          <w:ilvl w:val="0"/>
          <w:numId w:val="9"/>
        </w:numPr>
        <w:spacing w:before="0" w:after="0" w:line="300" w:lineRule="auto"/>
        <w:ind w:firstLine="2704" w:firstLineChars="845"/>
        <w:rPr>
          <w:rFonts w:ascii="Times New Roman" w:hAnsi="Times New Roman"/>
          <w:color w:val="000000"/>
        </w:rPr>
      </w:pPr>
      <w:bookmarkStart w:id="184" w:name="_Toc18636"/>
      <w:r>
        <w:rPr>
          <w:rFonts w:ascii="Times New Roman" w:hAnsi="Times New Roman"/>
          <w:color w:val="000000"/>
        </w:rPr>
        <w:t>沥青材料供应专项方案</w:t>
      </w:r>
      <w:bookmarkEnd w:id="184"/>
    </w:p>
    <w:p w14:paraId="256F0C30">
      <w:pPr>
        <w:pStyle w:val="41"/>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firstLine="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1</w:t>
      </w:r>
      <w:r>
        <w:rPr>
          <w:rFonts w:hint="eastAsia" w:ascii="等线" w:hAnsi="等线" w:eastAsia="等线" w:cs="等线"/>
          <w:color w:val="000000"/>
          <w:kern w:val="2"/>
          <w:sz w:val="24"/>
          <w:szCs w:val="24"/>
          <w:lang w:val="en-US" w:eastAsia="zh-CN" w:bidi="ar-SA"/>
        </w:rPr>
        <w:t>、</w:t>
      </w:r>
      <w:r>
        <w:rPr>
          <w:rFonts w:hint="default" w:ascii="等线" w:hAnsi="等线" w:eastAsia="等线" w:cs="等线"/>
          <w:color w:val="000000"/>
          <w:kern w:val="2"/>
          <w:sz w:val="24"/>
          <w:szCs w:val="24"/>
          <w:lang w:val="en-US" w:eastAsia="zh-CN" w:bidi="ar-SA"/>
        </w:rPr>
        <w:t>拟合作供应商</w:t>
      </w:r>
    </w:p>
    <w:p w14:paraId="421BA6BE">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供应商名称：________________________</w:t>
      </w:r>
    </w:p>
    <w:p w14:paraId="553CF7EE">
      <w:pPr>
        <w:pStyle w:val="41"/>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firstLine="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2. 供应商资格证明文件（以下材料均须加盖</w:t>
      </w:r>
      <w:r>
        <w:rPr>
          <w:rFonts w:hint="eastAsia" w:ascii="等线" w:hAnsi="等线" w:eastAsia="等线" w:cs="等线"/>
          <w:color w:val="000000"/>
          <w:kern w:val="2"/>
          <w:sz w:val="24"/>
          <w:szCs w:val="24"/>
          <w:lang w:val="en-US" w:eastAsia="zh-CN" w:bidi="ar-SA"/>
        </w:rPr>
        <w:t>本单位及</w:t>
      </w:r>
      <w:r>
        <w:rPr>
          <w:rFonts w:hint="default" w:ascii="等线" w:hAnsi="等线" w:eastAsia="等线" w:cs="等线"/>
          <w:color w:val="000000"/>
          <w:kern w:val="2"/>
          <w:sz w:val="24"/>
          <w:szCs w:val="24"/>
          <w:lang w:val="en-US" w:eastAsia="zh-CN" w:bidi="ar-SA"/>
        </w:rPr>
        <w:t>供应商公章）</w:t>
      </w:r>
    </w:p>
    <w:p w14:paraId="4E5AECBA">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供应商有效的《营业执照》</w:t>
      </w:r>
      <w:r>
        <w:rPr>
          <w:rFonts w:hint="eastAsia" w:ascii="等线" w:hAnsi="等线" w:eastAsia="等线" w:cs="等线"/>
          <w:color w:val="000000"/>
          <w:kern w:val="2"/>
          <w:sz w:val="24"/>
          <w:szCs w:val="24"/>
          <w:lang w:val="en-US" w:eastAsia="zh-CN" w:bidi="ar-SA"/>
        </w:rPr>
        <w:t>及资质</w:t>
      </w:r>
      <w:r>
        <w:rPr>
          <w:rFonts w:hint="default" w:ascii="等线" w:hAnsi="等线" w:eastAsia="等线" w:cs="等线"/>
          <w:color w:val="000000"/>
          <w:kern w:val="2"/>
          <w:sz w:val="24"/>
          <w:szCs w:val="24"/>
          <w:lang w:val="en-US" w:eastAsia="zh-CN" w:bidi="ar-SA"/>
        </w:rPr>
        <w:t>复印件。</w:t>
      </w:r>
    </w:p>
    <w:p w14:paraId="3CEDE558">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ISO9001质量管理体系认证证书复印件。</w:t>
      </w:r>
    </w:p>
    <w:p w14:paraId="60223A7A">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体现SBS改性沥青的说明或证明。</w:t>
      </w:r>
    </w:p>
    <w:p w14:paraId="306E8590">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ascii="等线" w:hAnsi="等线" w:eastAsia="等线" w:cs="等线"/>
          <w:color w:val="000000"/>
          <w:kern w:val="2"/>
          <w:sz w:val="24"/>
          <w:szCs w:val="24"/>
          <w:lang w:val="en-US" w:eastAsia="zh-CN" w:bidi="ar-SA"/>
        </w:rPr>
      </w:pPr>
      <w:r>
        <w:rPr>
          <w:rFonts w:hint="eastAsia" w:ascii="等线" w:hAnsi="等线" w:eastAsia="等线" w:cs="等线"/>
          <w:color w:val="000000"/>
          <w:kern w:val="2"/>
          <w:sz w:val="24"/>
          <w:szCs w:val="24"/>
          <w:lang w:val="en-US" w:eastAsia="zh-CN" w:bidi="ar-SA"/>
        </w:rPr>
        <w:t>投标单位</w:t>
      </w:r>
      <w:r>
        <w:rPr>
          <w:rFonts w:hint="default" w:ascii="等线" w:hAnsi="等线" w:eastAsia="等线" w:cs="等线"/>
          <w:color w:val="000000"/>
          <w:kern w:val="2"/>
          <w:sz w:val="24"/>
          <w:szCs w:val="24"/>
          <w:lang w:val="en-US" w:eastAsia="zh-CN" w:bidi="ar-SA"/>
        </w:rPr>
        <w:t>近三年（2023-2025）至少1个重载道路项目供货成功案例证明（</w:t>
      </w:r>
      <w:r>
        <w:rPr>
          <w:rFonts w:hint="eastAsia" w:ascii="等线" w:hAnsi="等线" w:eastAsia="等线" w:cs="等线"/>
          <w:color w:val="000000"/>
          <w:kern w:val="2"/>
          <w:sz w:val="24"/>
          <w:szCs w:val="24"/>
          <w:lang w:val="en-US" w:eastAsia="zh-CN" w:bidi="ar-SA"/>
        </w:rPr>
        <w:t>采购</w:t>
      </w:r>
      <w:r>
        <w:rPr>
          <w:rFonts w:hint="default" w:ascii="等线" w:hAnsi="等线" w:eastAsia="等线" w:cs="等线"/>
          <w:color w:val="000000"/>
          <w:kern w:val="2"/>
          <w:sz w:val="24"/>
          <w:szCs w:val="24"/>
          <w:lang w:val="en-US" w:eastAsia="zh-CN" w:bidi="ar-SA"/>
        </w:rPr>
        <w:t>合同、</w:t>
      </w:r>
      <w:r>
        <w:rPr>
          <w:rFonts w:hint="eastAsia" w:ascii="等线" w:hAnsi="等线" w:eastAsia="等线" w:cs="等线"/>
          <w:color w:val="000000"/>
          <w:kern w:val="2"/>
          <w:sz w:val="24"/>
          <w:szCs w:val="24"/>
          <w:lang w:val="en-US" w:eastAsia="zh-CN" w:bidi="ar-SA"/>
        </w:rPr>
        <w:t>施工合同、</w:t>
      </w:r>
      <w:r>
        <w:rPr>
          <w:rFonts w:hint="default" w:ascii="等线" w:hAnsi="等线" w:eastAsia="等线" w:cs="等线"/>
          <w:color w:val="000000"/>
          <w:kern w:val="2"/>
          <w:sz w:val="24"/>
          <w:szCs w:val="24"/>
          <w:lang w:val="en-US" w:eastAsia="zh-CN" w:bidi="ar-SA"/>
        </w:rPr>
        <w:t>对应的出厂检测报告、用户证明等）。</w:t>
      </w:r>
    </w:p>
    <w:p w14:paraId="05EDB21D">
      <w:pPr>
        <w:pStyle w:val="41"/>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firstLine="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3. 材料供应保障措施</w:t>
      </w:r>
    </w:p>
    <w:p w14:paraId="41D9BCC0">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运输与物流方案：说明从供应商到项目工地的运输距离、时间，拟投入的保温运输车辆型号、数量及温度保障措施。</w:t>
      </w:r>
    </w:p>
    <w:p w14:paraId="32FD8A36">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春节假期供应应急预案：详细阐述为确保“腊月二十六至二十七”及“正月初八至十一”两个关键施工阶段材料连续供应所采取的具体措施（如提前备料、车辆与司机安排、应急联络机制等）。</w:t>
      </w:r>
    </w:p>
    <w:p w14:paraId="6EAFB615">
      <w:pPr>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br w:type="page"/>
      </w:r>
    </w:p>
    <w:p w14:paraId="6C9DEFD2">
      <w:pPr>
        <w:pStyle w:val="41"/>
        <w:keepNext w:val="0"/>
        <w:keepLines w:val="0"/>
        <w:widowControl/>
        <w:suppressLineNumbers w:val="0"/>
        <w:shd w:val="clear" w:fill="FFFFFF"/>
        <w:spacing w:before="240" w:beforeAutospacing="0" w:after="240" w:afterAutospacing="0"/>
        <w:ind w:left="0" w:right="0" w:firstLine="0"/>
        <w:jc w:val="center"/>
        <w:rPr>
          <w:rFonts w:ascii="Times New Roman" w:hAnsi="Times New Roman" w:eastAsia="黑体" w:cs="Times New Roman"/>
          <w:b/>
          <w:bCs/>
          <w:color w:val="000000"/>
          <w:kern w:val="0"/>
          <w:sz w:val="32"/>
          <w:szCs w:val="32"/>
          <w:lang w:val="en-US" w:eastAsia="zh-CN" w:bidi="ar-SA"/>
        </w:rPr>
      </w:pPr>
      <w:r>
        <w:rPr>
          <w:rFonts w:hint="eastAsia" w:eastAsia="黑体" w:cs="Times New Roman"/>
          <w:b/>
          <w:bCs/>
          <w:color w:val="000000"/>
          <w:kern w:val="0"/>
          <w:sz w:val="32"/>
          <w:szCs w:val="32"/>
          <w:lang w:val="en-US" w:eastAsia="zh-CN" w:bidi="ar-SA"/>
        </w:rPr>
        <w:t>材料</w:t>
      </w:r>
      <w:r>
        <w:rPr>
          <w:rFonts w:hint="default" w:ascii="Times New Roman" w:hAnsi="Times New Roman" w:eastAsia="黑体" w:cs="Times New Roman"/>
          <w:b/>
          <w:bCs/>
          <w:color w:val="000000"/>
          <w:kern w:val="0"/>
          <w:sz w:val="32"/>
          <w:szCs w:val="32"/>
          <w:lang w:val="en-US" w:eastAsia="zh-CN" w:bidi="ar-SA"/>
        </w:rPr>
        <w:t>质量保证承诺函</w:t>
      </w:r>
    </w:p>
    <w:p w14:paraId="1D262989">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济南黄河爆破工程有限责任公司：</w:t>
      </w:r>
    </w:p>
    <w:p w14:paraId="73BEE2C1">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根据</w:t>
      </w:r>
      <w:r>
        <w:rPr>
          <w:rFonts w:hint="default" w:ascii="等线" w:hAnsi="等线" w:eastAsia="等线" w:cs="等线"/>
          <w:color w:val="000000"/>
          <w:kern w:val="2"/>
          <w:sz w:val="24"/>
          <w:szCs w:val="24"/>
          <w:u w:val="single"/>
          <w:lang w:val="en-US" w:eastAsia="zh-CN" w:bidi="ar-SA"/>
        </w:rPr>
        <w:t xml:space="preserve">  </w:t>
      </w:r>
      <w:r>
        <w:rPr>
          <w:rFonts w:hint="eastAsia" w:ascii="等线" w:hAnsi="等线" w:eastAsia="等线" w:cs="等线"/>
          <w:color w:val="000000"/>
          <w:kern w:val="2"/>
          <w:sz w:val="24"/>
          <w:szCs w:val="24"/>
          <w:u w:val="single"/>
          <w:lang w:val="en-US" w:eastAsia="zh-CN" w:bidi="ar-SA"/>
        </w:rPr>
        <w:t xml:space="preserve">       </w:t>
      </w:r>
      <w:r>
        <w:rPr>
          <w:rFonts w:hint="default" w:ascii="等线" w:hAnsi="等线" w:eastAsia="等线" w:cs="等线"/>
          <w:color w:val="000000"/>
          <w:kern w:val="2"/>
          <w:sz w:val="24"/>
          <w:szCs w:val="24"/>
          <w:u w:val="single"/>
          <w:lang w:val="en-US" w:eastAsia="zh-CN" w:bidi="ar-SA"/>
        </w:rPr>
        <w:t xml:space="preserve"> </w:t>
      </w:r>
      <w:r>
        <w:rPr>
          <w:rFonts w:hint="default" w:ascii="等线" w:hAnsi="等线" w:eastAsia="等线" w:cs="等线"/>
          <w:color w:val="000000"/>
          <w:kern w:val="2"/>
          <w:sz w:val="24"/>
          <w:szCs w:val="24"/>
          <w:lang w:val="en-US" w:eastAsia="zh-CN" w:bidi="ar-SA"/>
        </w:rPr>
        <w:t>（项目名称）要求，我方作为投标人（施工单位），为确保本项目核心沥青材料的质量与可追溯性，现就材料采购事宜郑重承诺如下：</w:t>
      </w:r>
    </w:p>
    <w:p w14:paraId="6C21DEFD">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textAlignment w:val="auto"/>
        <w:rPr>
          <w:rFonts w:hint="default" w:ascii="等线" w:hAnsi="等线" w:eastAsia="等线" w:cs="等线"/>
          <w:color w:val="000000"/>
          <w:kern w:val="2"/>
          <w:sz w:val="24"/>
          <w:szCs w:val="24"/>
          <w:lang w:val="en-US" w:eastAsia="zh-CN" w:bidi="ar-SA"/>
        </w:rPr>
      </w:pPr>
      <w:r>
        <w:rPr>
          <w:rFonts w:hint="eastAsia" w:ascii="等线" w:hAnsi="等线" w:eastAsia="等线" w:cs="等线"/>
          <w:color w:val="000000"/>
          <w:kern w:val="2"/>
          <w:sz w:val="24"/>
          <w:szCs w:val="24"/>
          <w:lang w:val="en-US" w:eastAsia="zh-CN" w:bidi="ar-SA"/>
        </w:rPr>
        <w:t>一、</w:t>
      </w:r>
      <w:r>
        <w:rPr>
          <w:rFonts w:hint="default" w:ascii="等线" w:hAnsi="等线" w:eastAsia="等线" w:cs="等线"/>
          <w:color w:val="000000"/>
          <w:kern w:val="2"/>
          <w:sz w:val="24"/>
          <w:szCs w:val="24"/>
          <w:lang w:val="en-US" w:eastAsia="zh-CN" w:bidi="ar-SA"/>
        </w:rPr>
        <w:t>我方承诺遵循的采购原则</w:t>
      </w:r>
    </w:p>
    <w:p w14:paraId="2E4B122E">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我方完全知悉、理解并接受招标文件的全部规定。我方承诺，为本项目供应沥青材料（包括但不限于SBS改性沥青、SMA结合料、高渗透型乳化沥青、SBS改性乳化沥青等）的供应商，必须同时满足以下全部资格条件：</w:t>
      </w:r>
    </w:p>
    <w:p w14:paraId="67E0360B">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生产资质与工艺：具备合法生产经营资格，拥有先进生产基地，且SBS改性沥青生产线必须采用成熟的胶体磨或高剪切工艺。</w:t>
      </w:r>
    </w:p>
    <w:p w14:paraId="3E1684BC">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质量体系：通过ISO9001质量管理体系认证，具备完善的实验室检测能力。</w:t>
      </w:r>
    </w:p>
    <w:p w14:paraId="4B38034A">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本地化服务：优先选择运输半径在50公里范围内、能提供24小时应急响应、在本地有重载道路供货成功经验的供应商。</w:t>
      </w:r>
    </w:p>
    <w:p w14:paraId="06824699">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企业实力：优先选择生产经营稳定、资金实力雄厚、社会信誉优良的生产商。</w:t>
      </w:r>
    </w:p>
    <w:p w14:paraId="7AF66787">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240" w:right="0" w:hanging="240" w:hangingChars="1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二、拟选供应商信息及承诺</w:t>
      </w:r>
      <w:r>
        <w:rPr>
          <w:rFonts w:hint="default" w:ascii="等线" w:hAnsi="等线" w:eastAsia="等线" w:cs="等线"/>
          <w:color w:val="000000"/>
          <w:kern w:val="2"/>
          <w:sz w:val="24"/>
          <w:szCs w:val="24"/>
          <w:lang w:val="en-US" w:eastAsia="zh-CN" w:bidi="ar-SA"/>
        </w:rPr>
        <w:br w:type="textWrapping"/>
      </w:r>
      <w:r>
        <w:rPr>
          <w:rFonts w:hint="default" w:ascii="等线" w:hAnsi="等线" w:eastAsia="等线" w:cs="等线"/>
          <w:color w:val="000000"/>
          <w:kern w:val="2"/>
          <w:sz w:val="24"/>
          <w:szCs w:val="24"/>
          <w:lang w:val="en-US" w:eastAsia="zh-CN" w:bidi="ar-SA"/>
        </w:rPr>
        <w:t>基于上述原则，我方初步选定的意向供应商为：</w:t>
      </w:r>
    </w:p>
    <w:p w14:paraId="1AAFB7C7">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供应商全称：________________________</w:t>
      </w:r>
    </w:p>
    <w:p w14:paraId="79C985E0">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统一社会信用代码：__________________</w:t>
      </w:r>
      <w:r>
        <w:rPr>
          <w:rFonts w:hint="default" w:ascii="等线" w:hAnsi="等线" w:eastAsia="等线" w:cs="等线"/>
          <w:color w:val="000000"/>
          <w:kern w:val="2"/>
          <w:sz w:val="24"/>
          <w:szCs w:val="24"/>
          <w:lang w:val="en-US" w:eastAsia="zh-CN" w:bidi="ar-SA"/>
        </w:rPr>
        <w:br w:type="textWrapping"/>
      </w:r>
      <w:r>
        <w:rPr>
          <w:rFonts w:hint="default" w:ascii="等线" w:hAnsi="等线" w:eastAsia="等线" w:cs="等线"/>
          <w:color w:val="000000"/>
          <w:kern w:val="2"/>
          <w:sz w:val="24"/>
          <w:szCs w:val="24"/>
          <w:lang w:val="en-US" w:eastAsia="zh-CN" w:bidi="ar-SA"/>
        </w:rPr>
        <w:t>三、质量保证承诺</w:t>
      </w:r>
    </w:p>
    <w:p w14:paraId="76D8D592">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我方承诺，所采购的所有沥青材料均符合以下要求，并承担作为施工单位应负的最终责任：</w:t>
      </w:r>
    </w:p>
    <w:p w14:paraId="21F4E351">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技术标准：完全符合国家《公路沥青路面施工技术规范》等最新标准。</w:t>
      </w:r>
    </w:p>
    <w:p w14:paraId="364B29EA">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原料来源：确保供应商所供产品均采用全新原生料生产，绝对不使用任何形式的回收沥青路面材料（RAP）、废旧沥青或再生沥青。</w:t>
      </w:r>
    </w:p>
    <w:p w14:paraId="7112AC77">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文件要求：确保每批次材料进场时，随车提供加盖供应商公章的《出厂合格证》及真实、准确的《质量检验报告》。</w:t>
      </w:r>
    </w:p>
    <w:p w14:paraId="4D4280CD">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四、验证与违约责任</w:t>
      </w:r>
    </w:p>
    <w:p w14:paraId="0BEB99C7">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无条件接受招标人、监理及第三方检测机构对到场材料的抽样检测。</w:t>
      </w:r>
    </w:p>
    <w:p w14:paraId="58E9A4A5">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违约责任：若发生以下任一情况，我方自愿承担一切后果：</w:t>
      </w:r>
    </w:p>
    <w:p w14:paraId="0C9899D8">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任何批次材料被检测为不合格，或发现使用回收料、文件造假等。</w:t>
      </w:r>
    </w:p>
    <w:p w14:paraId="231B59B1">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承担的责任包括但不限于：不合格材料无条件清退并承担费用；赔偿工期延误损失；承担已施工部分的返工、修复全部费用；接受招标人从工程款中扣减相应费用；同意被列入不良记录名单。</w:t>
      </w:r>
    </w:p>
    <w:p w14:paraId="6A4850C7">
      <w:pPr>
        <w:pStyle w:val="4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textAlignment w:val="auto"/>
        <w:rPr>
          <w:rFonts w:hint="default" w:ascii="等线" w:hAnsi="等线" w:eastAsia="等线" w:cs="等线"/>
          <w:color w:val="000000"/>
          <w:kern w:val="2"/>
          <w:sz w:val="24"/>
          <w:szCs w:val="24"/>
          <w:lang w:val="en-US" w:eastAsia="zh-CN" w:bidi="ar-SA"/>
        </w:rPr>
      </w:pPr>
      <w:r>
        <w:rPr>
          <w:rFonts w:hint="eastAsia" w:ascii="等线" w:hAnsi="等线" w:eastAsia="等线" w:cs="等线"/>
          <w:color w:val="000000"/>
          <w:kern w:val="2"/>
          <w:sz w:val="24"/>
          <w:szCs w:val="24"/>
          <w:lang w:val="en-US" w:eastAsia="zh-CN" w:bidi="ar-SA"/>
        </w:rPr>
        <w:t>五、</w:t>
      </w:r>
      <w:r>
        <w:rPr>
          <w:rFonts w:hint="default" w:ascii="等线" w:hAnsi="等线" w:eastAsia="等线" w:cs="等线"/>
          <w:color w:val="000000"/>
          <w:kern w:val="2"/>
          <w:sz w:val="24"/>
          <w:szCs w:val="24"/>
          <w:lang w:val="en-US" w:eastAsia="zh-CN" w:bidi="ar-SA"/>
        </w:rPr>
        <w:t>承诺效力</w:t>
      </w:r>
    </w:p>
    <w:p w14:paraId="0108B402">
      <w:pPr>
        <w:pStyle w:val="41"/>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本承诺函为我方真实</w:t>
      </w:r>
      <w:r>
        <w:rPr>
          <w:rFonts w:hint="eastAsia" w:ascii="等线" w:hAnsi="等线" w:eastAsia="等线" w:cs="等线"/>
          <w:color w:val="000000"/>
          <w:kern w:val="2"/>
          <w:sz w:val="24"/>
          <w:szCs w:val="24"/>
          <w:lang w:val="en-US" w:eastAsia="zh-CN" w:bidi="ar-SA"/>
        </w:rPr>
        <w:t>，</w:t>
      </w:r>
      <w:r>
        <w:rPr>
          <w:rFonts w:hint="default" w:ascii="等线" w:hAnsi="等线" w:eastAsia="等线" w:cs="等线"/>
          <w:color w:val="000000"/>
          <w:kern w:val="2"/>
          <w:sz w:val="24"/>
          <w:szCs w:val="24"/>
          <w:lang w:val="en-US" w:eastAsia="zh-CN" w:bidi="ar-SA"/>
        </w:rPr>
        <w:t>构成未来与贵方所签施工合同的重要组成部分，具有独立法律效力，有效期至本项目质量责任期届满。</w:t>
      </w:r>
    </w:p>
    <w:p w14:paraId="424D61B1">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right"/>
        <w:textAlignment w:val="auto"/>
        <w:rPr>
          <w:rFonts w:hint="default" w:ascii="等线" w:hAnsi="等线" w:eastAsia="等线" w:cs="等线"/>
          <w:color w:val="000000"/>
          <w:kern w:val="2"/>
          <w:sz w:val="24"/>
          <w:szCs w:val="24"/>
          <w:lang w:val="en-US" w:eastAsia="zh-CN" w:bidi="ar-SA"/>
        </w:rPr>
      </w:pPr>
      <w:r>
        <w:rPr>
          <w:rFonts w:hint="default" w:ascii="等线" w:hAnsi="等线" w:eastAsia="等线" w:cs="等线"/>
          <w:color w:val="000000"/>
          <w:kern w:val="2"/>
          <w:sz w:val="24"/>
          <w:szCs w:val="24"/>
          <w:lang w:val="en-US" w:eastAsia="zh-CN" w:bidi="ar-SA"/>
        </w:rPr>
        <w:t>投标人（施工单位）（公章）：</w:t>
      </w:r>
      <w:r>
        <w:rPr>
          <w:rFonts w:hint="eastAsia" w:ascii="等线" w:hAnsi="等线" w:eastAsia="等线" w:cs="等线"/>
          <w:color w:val="000000"/>
          <w:kern w:val="2"/>
          <w:sz w:val="24"/>
          <w:szCs w:val="24"/>
          <w:lang w:val="en-US" w:eastAsia="zh-CN" w:bidi="ar-SA"/>
        </w:rPr>
        <w:t xml:space="preserve"> </w:t>
      </w:r>
      <w:r>
        <w:rPr>
          <w:rFonts w:hint="default" w:ascii="等线" w:hAnsi="等线" w:eastAsia="等线" w:cs="等线"/>
          <w:color w:val="000000"/>
          <w:kern w:val="2"/>
          <w:sz w:val="24"/>
          <w:szCs w:val="24"/>
          <w:lang w:val="en-US" w:eastAsia="zh-CN" w:bidi="ar-SA"/>
        </w:rPr>
        <w:br w:type="textWrapping"/>
      </w:r>
      <w:r>
        <w:rPr>
          <w:rFonts w:hint="default" w:ascii="等线" w:hAnsi="等线" w:eastAsia="等线" w:cs="等线"/>
          <w:color w:val="000000"/>
          <w:kern w:val="2"/>
          <w:sz w:val="24"/>
          <w:szCs w:val="24"/>
          <w:lang w:val="en-US" w:eastAsia="zh-CN" w:bidi="ar-SA"/>
        </w:rPr>
        <w:t>法定代表人（或授权代表）签字：</w:t>
      </w:r>
      <w:r>
        <w:rPr>
          <w:rFonts w:hint="default" w:ascii="等线" w:hAnsi="等线" w:eastAsia="等线" w:cs="等线"/>
          <w:color w:val="000000"/>
          <w:kern w:val="2"/>
          <w:sz w:val="24"/>
          <w:szCs w:val="24"/>
          <w:lang w:val="en-US" w:eastAsia="zh-CN" w:bidi="ar-SA"/>
        </w:rPr>
        <w:br w:type="textWrapping"/>
      </w:r>
      <w:r>
        <w:rPr>
          <w:rFonts w:hint="default" w:ascii="等线" w:hAnsi="等线" w:eastAsia="等线" w:cs="等线"/>
          <w:color w:val="000000"/>
          <w:kern w:val="2"/>
          <w:sz w:val="24"/>
          <w:szCs w:val="24"/>
          <w:lang w:val="en-US" w:eastAsia="zh-CN" w:bidi="ar-SA"/>
        </w:rPr>
        <w:t>日期：______年______月______日</w:t>
      </w:r>
    </w:p>
    <w:p w14:paraId="13CFED38">
      <w:pPr>
        <w:rPr>
          <w:rFonts w:hint="eastAsia" w:ascii="等线" w:hAnsi="等线" w:eastAsia="等线" w:cs="等线"/>
          <w:color w:val="000000"/>
          <w:kern w:val="2"/>
          <w:sz w:val="24"/>
          <w:szCs w:val="24"/>
          <w:lang w:val="en-US" w:eastAsia="zh-CN" w:bidi="ar-SA"/>
        </w:rPr>
      </w:pPr>
      <w:r>
        <w:rPr>
          <w:rFonts w:hint="eastAsia" w:ascii="等线" w:hAnsi="等线" w:eastAsia="等线" w:cs="等线"/>
          <w:color w:val="000000"/>
          <w:kern w:val="2"/>
          <w:sz w:val="24"/>
          <w:szCs w:val="24"/>
          <w:lang w:val="en-US" w:eastAsia="zh-CN" w:bidi="ar-SA"/>
        </w:rPr>
        <w:br w:type="page"/>
      </w:r>
    </w:p>
    <w:p w14:paraId="37AE9677">
      <w:pPr>
        <w:pStyle w:val="4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textAlignment w:val="auto"/>
        <w:rPr>
          <w:rFonts w:hint="eastAsia" w:ascii="等线" w:hAnsi="等线" w:eastAsia="等线" w:cs="等线"/>
          <w:color w:val="000000"/>
          <w:kern w:val="2"/>
          <w:sz w:val="24"/>
          <w:szCs w:val="24"/>
          <w:lang w:val="en-US" w:eastAsia="zh-CN" w:bidi="ar-SA"/>
        </w:rPr>
      </w:pPr>
    </w:p>
    <w:p w14:paraId="2777E5A0">
      <w:pPr>
        <w:pStyle w:val="3"/>
        <w:spacing w:before="0" w:after="0" w:line="300" w:lineRule="auto"/>
        <w:ind w:firstLine="2224" w:firstLineChars="695"/>
        <w:rPr>
          <w:rFonts w:ascii="Times New Roman" w:hAnsi="Times New Roman"/>
          <w:color w:val="000000"/>
          <w:sz w:val="44"/>
          <w:szCs w:val="44"/>
        </w:rPr>
      </w:pPr>
      <w:r>
        <w:rPr>
          <w:rFonts w:hint="eastAsia" w:ascii="Times New Roman" w:hAnsi="Times New Roman"/>
          <w:color w:val="000000"/>
        </w:rPr>
        <w:t xml:space="preserve">   </w:t>
      </w:r>
      <w:bookmarkStart w:id="185" w:name="_Toc11897"/>
      <w:r>
        <w:rPr>
          <w:rFonts w:ascii="Times New Roman" w:hAnsi="Times New Roman"/>
          <w:color w:val="000000"/>
          <w:sz w:val="44"/>
          <w:szCs w:val="44"/>
        </w:rPr>
        <w:t>三、资格审查</w:t>
      </w:r>
      <w:bookmarkEnd w:id="175"/>
      <w:bookmarkEnd w:id="176"/>
      <w:bookmarkEnd w:id="177"/>
      <w:bookmarkEnd w:id="178"/>
      <w:bookmarkEnd w:id="179"/>
      <w:bookmarkEnd w:id="180"/>
      <w:bookmarkEnd w:id="181"/>
      <w:bookmarkEnd w:id="182"/>
      <w:r>
        <w:rPr>
          <w:rFonts w:ascii="Times New Roman" w:hAnsi="Times New Roman"/>
          <w:color w:val="000000"/>
          <w:sz w:val="44"/>
          <w:szCs w:val="44"/>
        </w:rPr>
        <w:t>文件</w:t>
      </w:r>
      <w:bookmarkEnd w:id="185"/>
    </w:p>
    <w:p w14:paraId="3DB0FF32">
      <w:pPr>
        <w:pStyle w:val="4"/>
        <w:spacing w:before="0" w:after="0" w:line="300" w:lineRule="auto"/>
        <w:jc w:val="center"/>
        <w:rPr>
          <w:rFonts w:hint="eastAsia"/>
          <w:color w:val="000000"/>
        </w:rPr>
      </w:pPr>
      <w:bookmarkStart w:id="186" w:name="_Toc247085891"/>
      <w:bookmarkStart w:id="187" w:name="_Toc69"/>
      <w:bookmarkStart w:id="188" w:name="_Toc152042597"/>
      <w:bookmarkStart w:id="189" w:name="_Toc152045808"/>
      <w:bookmarkStart w:id="190" w:name="_Toc179632828"/>
      <w:bookmarkStart w:id="191" w:name="_Toc246996373"/>
      <w:bookmarkStart w:id="192" w:name="_Toc144974876"/>
      <w:bookmarkStart w:id="193" w:name="_Toc296602618"/>
      <w:bookmarkStart w:id="194" w:name="_Toc246997116"/>
      <w:r>
        <w:rPr>
          <w:color w:val="000000"/>
        </w:rPr>
        <w:t>（一）投标人基本情况表</w:t>
      </w:r>
      <w:bookmarkEnd w:id="186"/>
      <w:bookmarkEnd w:id="187"/>
      <w:bookmarkEnd w:id="188"/>
      <w:bookmarkEnd w:id="189"/>
      <w:bookmarkEnd w:id="190"/>
      <w:bookmarkEnd w:id="191"/>
      <w:bookmarkEnd w:id="192"/>
      <w:bookmarkEnd w:id="193"/>
      <w:bookmarkEnd w:id="194"/>
    </w:p>
    <w:tbl>
      <w:tblPr>
        <w:tblStyle w:val="4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31"/>
        <w:gridCol w:w="900"/>
        <w:gridCol w:w="953"/>
        <w:gridCol w:w="841"/>
        <w:gridCol w:w="421"/>
        <w:gridCol w:w="311"/>
        <w:gridCol w:w="1080"/>
        <w:gridCol w:w="491"/>
        <w:gridCol w:w="862"/>
        <w:gridCol w:w="994"/>
      </w:tblGrid>
      <w:tr w14:paraId="04242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A3AF35C">
            <w:pPr>
              <w:topLinePunct/>
              <w:spacing w:line="300" w:lineRule="auto"/>
              <w:jc w:val="center"/>
              <w:rPr>
                <w:rFonts w:ascii="Times New Roman" w:hAnsi="Times New Roman"/>
                <w:color w:val="000000"/>
                <w:szCs w:val="21"/>
              </w:rPr>
            </w:pPr>
            <w:r>
              <w:rPr>
                <w:rFonts w:ascii="Times New Roman" w:hAnsi="Times New Roman"/>
                <w:color w:val="000000"/>
                <w:szCs w:val="21"/>
              </w:rPr>
              <w:t>名称</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5296F43A">
            <w:pPr>
              <w:topLinePunct/>
              <w:spacing w:line="300" w:lineRule="auto"/>
              <w:jc w:val="center"/>
              <w:rPr>
                <w:rFonts w:ascii="Times New Roman" w:hAnsi="Times New Roman"/>
                <w:color w:val="000000"/>
                <w:szCs w:val="21"/>
              </w:rPr>
            </w:pPr>
          </w:p>
        </w:tc>
      </w:tr>
      <w:tr w14:paraId="53C39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7AD7F5EF">
            <w:pPr>
              <w:topLinePunct/>
              <w:spacing w:line="300" w:lineRule="auto"/>
              <w:jc w:val="center"/>
              <w:rPr>
                <w:rFonts w:ascii="Times New Roman" w:hAnsi="Times New Roman"/>
                <w:color w:val="000000"/>
                <w:szCs w:val="21"/>
              </w:rPr>
            </w:pPr>
            <w:r>
              <w:rPr>
                <w:rFonts w:ascii="Times New Roman" w:hAnsi="Times New Roman"/>
                <w:color w:val="000000"/>
                <w:szCs w:val="21"/>
              </w:rPr>
              <w:t>注册地址</w:t>
            </w:r>
          </w:p>
        </w:tc>
        <w:tc>
          <w:tcPr>
            <w:tcW w:w="3426" w:type="dxa"/>
            <w:gridSpan w:val="5"/>
            <w:tcBorders>
              <w:top w:val="single" w:color="auto" w:sz="4" w:space="0"/>
              <w:left w:val="single" w:color="auto" w:sz="4" w:space="0"/>
              <w:bottom w:val="single" w:color="auto" w:sz="4" w:space="0"/>
              <w:right w:val="single" w:color="auto" w:sz="4" w:space="0"/>
            </w:tcBorders>
            <w:vAlign w:val="center"/>
          </w:tcPr>
          <w:p w14:paraId="4A02D1E0">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693A688C">
            <w:pPr>
              <w:topLinePunct/>
              <w:spacing w:line="300" w:lineRule="auto"/>
              <w:jc w:val="center"/>
              <w:rPr>
                <w:rFonts w:ascii="Times New Roman" w:hAnsi="Times New Roman"/>
                <w:color w:val="000000"/>
                <w:szCs w:val="21"/>
              </w:rPr>
            </w:pPr>
            <w:r>
              <w:rPr>
                <w:rFonts w:ascii="Times New Roman" w:hAnsi="Times New Roman"/>
                <w:color w:val="000000"/>
                <w:szCs w:val="21"/>
              </w:rPr>
              <w:t>邮政编码</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0C9AB77">
            <w:pPr>
              <w:topLinePunct/>
              <w:spacing w:line="300" w:lineRule="auto"/>
              <w:jc w:val="center"/>
              <w:rPr>
                <w:rFonts w:ascii="Times New Roman" w:hAnsi="Times New Roman"/>
                <w:color w:val="000000"/>
                <w:szCs w:val="21"/>
              </w:rPr>
            </w:pPr>
          </w:p>
        </w:tc>
      </w:tr>
      <w:tr w14:paraId="4DCC7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0" w:hRule="atLeast"/>
          <w:jc w:val="center"/>
        </w:trPr>
        <w:tc>
          <w:tcPr>
            <w:tcW w:w="1731" w:type="dxa"/>
            <w:vMerge w:val="restart"/>
            <w:tcBorders>
              <w:top w:val="single" w:color="auto" w:sz="4" w:space="0"/>
              <w:left w:val="single" w:color="auto" w:sz="4" w:space="0"/>
              <w:bottom w:val="single" w:color="auto" w:sz="4" w:space="0"/>
              <w:right w:val="single" w:color="auto" w:sz="4" w:space="0"/>
            </w:tcBorders>
            <w:vAlign w:val="center"/>
          </w:tcPr>
          <w:p w14:paraId="118D38E2">
            <w:pPr>
              <w:topLinePunct/>
              <w:spacing w:line="300" w:lineRule="auto"/>
              <w:jc w:val="center"/>
              <w:rPr>
                <w:rFonts w:ascii="Times New Roman" w:hAnsi="Times New Roman"/>
                <w:color w:val="000000"/>
                <w:szCs w:val="21"/>
              </w:rPr>
            </w:pPr>
            <w:r>
              <w:rPr>
                <w:rFonts w:ascii="Times New Roman" w:hAnsi="Times New Roman"/>
                <w:color w:val="000000"/>
                <w:szCs w:val="21"/>
              </w:rPr>
              <w:t>联系方式</w:t>
            </w:r>
          </w:p>
        </w:tc>
        <w:tc>
          <w:tcPr>
            <w:tcW w:w="900" w:type="dxa"/>
            <w:tcBorders>
              <w:top w:val="single" w:color="auto" w:sz="4" w:space="0"/>
              <w:left w:val="single" w:color="auto" w:sz="4" w:space="0"/>
              <w:bottom w:val="single" w:color="auto" w:sz="4" w:space="0"/>
              <w:right w:val="single" w:color="auto" w:sz="4" w:space="0"/>
            </w:tcBorders>
            <w:vAlign w:val="center"/>
          </w:tcPr>
          <w:p w14:paraId="71CBE681">
            <w:pPr>
              <w:topLinePunct/>
              <w:spacing w:line="300" w:lineRule="auto"/>
              <w:jc w:val="center"/>
              <w:rPr>
                <w:rFonts w:ascii="Times New Roman" w:hAnsi="Times New Roman"/>
                <w:color w:val="000000"/>
                <w:szCs w:val="21"/>
              </w:rPr>
            </w:pPr>
            <w:r>
              <w:rPr>
                <w:rFonts w:ascii="Times New Roman" w:hAnsi="Times New Roman"/>
                <w:color w:val="000000"/>
                <w:szCs w:val="21"/>
              </w:rPr>
              <w:t>联系人</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3656C9BE">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A8640A3">
            <w:pPr>
              <w:topLinePunct/>
              <w:spacing w:line="300" w:lineRule="auto"/>
              <w:jc w:val="center"/>
              <w:rPr>
                <w:rFonts w:ascii="Times New Roman" w:hAnsi="Times New Roman"/>
                <w:color w:val="000000"/>
                <w:szCs w:val="21"/>
              </w:rPr>
            </w:pPr>
            <w:r>
              <w:rPr>
                <w:rFonts w:ascii="Times New Roman" w:hAnsi="Times New Roman"/>
                <w:color w:val="000000"/>
                <w:szCs w:val="21"/>
              </w:rPr>
              <w:t>电 话</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4B6A730C">
            <w:pPr>
              <w:topLinePunct/>
              <w:spacing w:line="300" w:lineRule="auto"/>
              <w:jc w:val="center"/>
              <w:rPr>
                <w:rFonts w:ascii="Times New Roman" w:hAnsi="Times New Roman"/>
                <w:color w:val="000000"/>
                <w:szCs w:val="21"/>
              </w:rPr>
            </w:pPr>
          </w:p>
        </w:tc>
      </w:tr>
      <w:tr w14:paraId="65013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7" w:hRule="atLeast"/>
          <w:jc w:val="center"/>
        </w:trPr>
        <w:tc>
          <w:tcPr>
            <w:tcW w:w="1731" w:type="dxa"/>
            <w:vMerge w:val="continue"/>
            <w:tcBorders>
              <w:top w:val="single" w:color="auto" w:sz="4" w:space="0"/>
              <w:left w:val="single" w:color="auto" w:sz="4" w:space="0"/>
              <w:bottom w:val="single" w:color="auto" w:sz="4" w:space="0"/>
              <w:right w:val="single" w:color="auto" w:sz="4" w:space="0"/>
            </w:tcBorders>
            <w:vAlign w:val="center"/>
          </w:tcPr>
          <w:p w14:paraId="382F7C0F">
            <w:pPr>
              <w:topLinePunct/>
              <w:spacing w:line="300" w:lineRule="auto"/>
              <w:jc w:val="center"/>
              <w:rPr>
                <w:rFonts w:ascii="Times New Roman" w:hAnsi="Times New Roman"/>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10B728BD">
            <w:pPr>
              <w:topLinePunct/>
              <w:spacing w:line="300" w:lineRule="auto"/>
              <w:jc w:val="center"/>
              <w:rPr>
                <w:rFonts w:ascii="Times New Roman" w:hAnsi="Times New Roman"/>
                <w:color w:val="000000"/>
                <w:szCs w:val="21"/>
              </w:rPr>
            </w:pPr>
            <w:r>
              <w:rPr>
                <w:rFonts w:ascii="Times New Roman" w:hAnsi="Times New Roman"/>
                <w:color w:val="000000"/>
                <w:szCs w:val="21"/>
              </w:rPr>
              <w:t>传  真</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5DA2939B">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1057CF2">
            <w:pPr>
              <w:topLinePunct/>
              <w:spacing w:line="300" w:lineRule="auto"/>
              <w:jc w:val="center"/>
              <w:rPr>
                <w:rFonts w:ascii="Times New Roman" w:hAnsi="Times New Roman"/>
                <w:color w:val="000000"/>
                <w:szCs w:val="21"/>
              </w:rPr>
            </w:pPr>
            <w:r>
              <w:rPr>
                <w:rFonts w:ascii="Times New Roman" w:hAnsi="Times New Roman"/>
                <w:color w:val="000000"/>
                <w:szCs w:val="21"/>
              </w:rPr>
              <w:t>网 址</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A972F60">
            <w:pPr>
              <w:topLinePunct/>
              <w:spacing w:line="300" w:lineRule="auto"/>
              <w:jc w:val="center"/>
              <w:rPr>
                <w:rFonts w:ascii="Times New Roman" w:hAnsi="Times New Roman"/>
                <w:color w:val="000000"/>
                <w:szCs w:val="21"/>
              </w:rPr>
            </w:pPr>
          </w:p>
        </w:tc>
      </w:tr>
      <w:tr w14:paraId="39492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7AF7D835">
            <w:pPr>
              <w:topLinePunct/>
              <w:spacing w:line="300" w:lineRule="auto"/>
              <w:jc w:val="center"/>
              <w:rPr>
                <w:rFonts w:ascii="Times New Roman" w:hAnsi="Times New Roman"/>
                <w:color w:val="000000"/>
                <w:szCs w:val="21"/>
              </w:rPr>
            </w:pPr>
            <w:r>
              <w:rPr>
                <w:rFonts w:ascii="Times New Roman" w:hAnsi="Times New Roman"/>
                <w:color w:val="000000"/>
                <w:szCs w:val="21"/>
              </w:rPr>
              <w:t>组织结构</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112E5395">
            <w:pPr>
              <w:topLinePunct/>
              <w:spacing w:line="300" w:lineRule="auto"/>
              <w:jc w:val="center"/>
              <w:rPr>
                <w:rFonts w:ascii="Times New Roman" w:hAnsi="Times New Roman"/>
                <w:color w:val="000000"/>
                <w:szCs w:val="21"/>
              </w:rPr>
            </w:pPr>
          </w:p>
        </w:tc>
      </w:tr>
      <w:tr w14:paraId="391A5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61DD289">
            <w:pPr>
              <w:topLinePunct/>
              <w:spacing w:line="300" w:lineRule="auto"/>
              <w:jc w:val="center"/>
              <w:rPr>
                <w:rFonts w:ascii="Times New Roman" w:hAnsi="Times New Roman"/>
                <w:color w:val="000000"/>
                <w:szCs w:val="21"/>
              </w:rPr>
            </w:pPr>
            <w:r>
              <w:rPr>
                <w:rFonts w:ascii="Times New Roman" w:hAnsi="Times New Roman"/>
                <w:color w:val="000000"/>
                <w:szCs w:val="21"/>
              </w:rPr>
              <w:t>法定代表人</w:t>
            </w:r>
          </w:p>
        </w:tc>
        <w:tc>
          <w:tcPr>
            <w:tcW w:w="900" w:type="dxa"/>
            <w:tcBorders>
              <w:top w:val="single" w:color="auto" w:sz="4" w:space="0"/>
              <w:left w:val="single" w:color="auto" w:sz="4" w:space="0"/>
              <w:bottom w:val="single" w:color="auto" w:sz="4" w:space="0"/>
              <w:right w:val="single" w:color="auto" w:sz="4" w:space="0"/>
            </w:tcBorders>
            <w:vAlign w:val="center"/>
          </w:tcPr>
          <w:p w14:paraId="0122A193">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289D22AD">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2F480903">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798E85FA">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6BB6ADC2">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A34DD4B">
            <w:pPr>
              <w:topLinePunct/>
              <w:spacing w:line="300" w:lineRule="auto"/>
              <w:jc w:val="center"/>
              <w:rPr>
                <w:rFonts w:ascii="Times New Roman" w:hAnsi="Times New Roman"/>
                <w:color w:val="000000"/>
                <w:szCs w:val="21"/>
              </w:rPr>
            </w:pPr>
          </w:p>
        </w:tc>
      </w:tr>
      <w:tr w14:paraId="7A624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366835B">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900" w:type="dxa"/>
            <w:tcBorders>
              <w:top w:val="single" w:color="auto" w:sz="4" w:space="0"/>
              <w:left w:val="single" w:color="auto" w:sz="4" w:space="0"/>
              <w:bottom w:val="single" w:color="auto" w:sz="4" w:space="0"/>
              <w:right w:val="single" w:color="auto" w:sz="4" w:space="0"/>
            </w:tcBorders>
            <w:vAlign w:val="center"/>
          </w:tcPr>
          <w:p w14:paraId="4ECA08F5">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37C6831C">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55A0966C">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0CB7917E">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79554398">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70F2098">
            <w:pPr>
              <w:topLinePunct/>
              <w:spacing w:line="300" w:lineRule="auto"/>
              <w:jc w:val="center"/>
              <w:rPr>
                <w:rFonts w:ascii="Times New Roman" w:hAnsi="Times New Roman"/>
                <w:color w:val="000000"/>
                <w:szCs w:val="21"/>
              </w:rPr>
            </w:pPr>
          </w:p>
        </w:tc>
      </w:tr>
      <w:tr w14:paraId="3A3CD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26B72A80">
            <w:pPr>
              <w:topLinePunct/>
              <w:spacing w:line="300" w:lineRule="auto"/>
              <w:jc w:val="center"/>
              <w:rPr>
                <w:rFonts w:ascii="Times New Roman" w:hAnsi="Times New Roman"/>
                <w:color w:val="000000"/>
                <w:szCs w:val="21"/>
              </w:rPr>
            </w:pPr>
            <w:r>
              <w:rPr>
                <w:rFonts w:ascii="Times New Roman" w:hAnsi="Times New Roman"/>
                <w:color w:val="000000"/>
                <w:szCs w:val="21"/>
              </w:rPr>
              <w:t>成立时间</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BE649BD">
            <w:pPr>
              <w:topLinePunct/>
              <w:spacing w:line="300" w:lineRule="auto"/>
              <w:jc w:val="center"/>
              <w:rPr>
                <w:rFonts w:ascii="Times New Roman" w:hAnsi="Times New Roman"/>
                <w:color w:val="000000"/>
                <w:szCs w:val="21"/>
              </w:rPr>
            </w:pPr>
          </w:p>
        </w:tc>
        <w:tc>
          <w:tcPr>
            <w:tcW w:w="5000" w:type="dxa"/>
            <w:gridSpan w:val="7"/>
            <w:tcBorders>
              <w:top w:val="single" w:color="auto" w:sz="4" w:space="0"/>
              <w:left w:val="single" w:color="auto" w:sz="4" w:space="0"/>
              <w:bottom w:val="single" w:color="auto" w:sz="4" w:space="0"/>
              <w:right w:val="single" w:color="auto" w:sz="4" w:space="0"/>
            </w:tcBorders>
            <w:vAlign w:val="center"/>
          </w:tcPr>
          <w:p w14:paraId="2CA7BE50">
            <w:pPr>
              <w:topLinePunct/>
              <w:spacing w:line="300" w:lineRule="auto"/>
              <w:ind w:firstLine="105" w:firstLineChars="50"/>
              <w:jc w:val="center"/>
              <w:rPr>
                <w:rFonts w:ascii="Times New Roman" w:hAnsi="Times New Roman"/>
                <w:color w:val="000000"/>
                <w:szCs w:val="21"/>
              </w:rPr>
            </w:pPr>
            <w:r>
              <w:rPr>
                <w:rFonts w:ascii="Times New Roman" w:hAnsi="Times New Roman"/>
                <w:color w:val="000000"/>
                <w:szCs w:val="21"/>
              </w:rPr>
              <w:t>员工总人数：</w:t>
            </w:r>
          </w:p>
        </w:tc>
      </w:tr>
      <w:tr w14:paraId="26F39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B1325AD">
            <w:pPr>
              <w:topLinePunct/>
              <w:spacing w:line="300" w:lineRule="auto"/>
              <w:jc w:val="center"/>
              <w:rPr>
                <w:rFonts w:ascii="Times New Roman" w:hAnsi="Times New Roman"/>
                <w:color w:val="000000"/>
                <w:szCs w:val="21"/>
              </w:rPr>
            </w:pPr>
            <w:r>
              <w:rPr>
                <w:rFonts w:ascii="Times New Roman" w:hAnsi="Times New Roman"/>
                <w:color w:val="000000"/>
                <w:szCs w:val="21"/>
              </w:rPr>
              <w:t>企业资质等级</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89945C6">
            <w:pPr>
              <w:topLinePunct/>
              <w:spacing w:line="300" w:lineRule="auto"/>
              <w:jc w:val="center"/>
              <w:rPr>
                <w:rFonts w:ascii="Times New Roman" w:hAnsi="Times New Roman"/>
                <w:color w:val="000000"/>
                <w:szCs w:val="21"/>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B16944B">
            <w:pPr>
              <w:topLinePunct/>
              <w:spacing w:line="300" w:lineRule="auto"/>
              <w:jc w:val="center"/>
              <w:rPr>
                <w:rFonts w:ascii="Times New Roman" w:hAnsi="Times New Roman"/>
                <w:color w:val="000000"/>
                <w:szCs w:val="21"/>
              </w:rPr>
            </w:pPr>
            <w:r>
              <w:rPr>
                <w:rFonts w:ascii="Times New Roman" w:hAnsi="Times New Roman"/>
                <w:color w:val="000000"/>
                <w:szCs w:val="21"/>
              </w:rPr>
              <w:t>其中</w:t>
            </w: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5C43F981">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6C7B83C">
            <w:pPr>
              <w:topLinePunct/>
              <w:spacing w:line="300" w:lineRule="auto"/>
              <w:jc w:val="center"/>
              <w:rPr>
                <w:rFonts w:ascii="Times New Roman" w:hAnsi="Times New Roman"/>
                <w:color w:val="000000"/>
                <w:szCs w:val="21"/>
              </w:rPr>
            </w:pPr>
          </w:p>
        </w:tc>
      </w:tr>
      <w:tr w14:paraId="7F3A9C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4"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6B194F3E">
            <w:pPr>
              <w:topLinePunct/>
              <w:spacing w:line="300" w:lineRule="auto"/>
              <w:jc w:val="center"/>
              <w:rPr>
                <w:rFonts w:ascii="Times New Roman" w:hAnsi="Times New Roman"/>
                <w:color w:val="000000"/>
                <w:szCs w:val="21"/>
              </w:rPr>
            </w:pPr>
            <w:r>
              <w:rPr>
                <w:rFonts w:ascii="Times New Roman" w:hAnsi="Times New Roman"/>
                <w:color w:val="000000"/>
                <w:szCs w:val="21"/>
              </w:rPr>
              <w:t>营业执照号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4501E5AC">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4D4E3E7">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6380EC1">
            <w:pPr>
              <w:topLinePunct/>
              <w:spacing w:line="300" w:lineRule="auto"/>
              <w:jc w:val="center"/>
              <w:rPr>
                <w:rFonts w:ascii="Times New Roman" w:hAnsi="Times New Roman"/>
                <w:color w:val="000000"/>
                <w:szCs w:val="21"/>
              </w:rPr>
            </w:pPr>
            <w:r>
              <w:rPr>
                <w:rFonts w:ascii="Times New Roman" w:hAnsi="Times New Roman"/>
                <w:color w:val="000000"/>
                <w:szCs w:val="21"/>
              </w:rPr>
              <w:t>高级职称人员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F9AC313">
            <w:pPr>
              <w:topLinePunct/>
              <w:spacing w:line="300" w:lineRule="auto"/>
              <w:jc w:val="center"/>
              <w:rPr>
                <w:rFonts w:ascii="Times New Roman" w:hAnsi="Times New Roman"/>
                <w:color w:val="000000"/>
                <w:szCs w:val="21"/>
              </w:rPr>
            </w:pPr>
          </w:p>
        </w:tc>
      </w:tr>
      <w:tr w14:paraId="67D11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9"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06890FC1">
            <w:pPr>
              <w:topLinePunct/>
              <w:spacing w:line="300" w:lineRule="auto"/>
              <w:jc w:val="center"/>
              <w:rPr>
                <w:rFonts w:ascii="Times New Roman" w:hAnsi="Times New Roman"/>
                <w:color w:val="000000"/>
                <w:szCs w:val="21"/>
              </w:rPr>
            </w:pPr>
            <w:r>
              <w:rPr>
                <w:rFonts w:ascii="Times New Roman" w:hAnsi="Times New Roman"/>
                <w:color w:val="000000"/>
                <w:szCs w:val="21"/>
              </w:rPr>
              <w:t>注册资金</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32E241F">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C2C9E44">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46C06AD9">
            <w:pPr>
              <w:topLinePunct/>
              <w:spacing w:line="300" w:lineRule="auto"/>
              <w:jc w:val="center"/>
              <w:rPr>
                <w:rFonts w:ascii="Times New Roman" w:hAnsi="Times New Roman"/>
                <w:color w:val="000000"/>
                <w:szCs w:val="21"/>
              </w:rPr>
            </w:pPr>
            <w:r>
              <w:rPr>
                <w:rFonts w:ascii="Times New Roman" w:hAnsi="Times New Roman"/>
                <w:color w:val="000000"/>
                <w:szCs w:val="21"/>
              </w:rPr>
              <w:t>中级职称人员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5ECFDFFF">
            <w:pPr>
              <w:topLinePunct/>
              <w:spacing w:line="300" w:lineRule="auto"/>
              <w:jc w:val="center"/>
              <w:rPr>
                <w:rFonts w:ascii="Times New Roman" w:hAnsi="Times New Roman"/>
                <w:color w:val="000000"/>
                <w:szCs w:val="21"/>
              </w:rPr>
            </w:pPr>
          </w:p>
        </w:tc>
      </w:tr>
      <w:tr w14:paraId="05C87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8"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5BC536E7">
            <w:pPr>
              <w:topLinePunct/>
              <w:spacing w:line="300" w:lineRule="auto"/>
              <w:jc w:val="center"/>
              <w:rPr>
                <w:rFonts w:ascii="Times New Roman" w:hAnsi="Times New Roman"/>
                <w:color w:val="000000"/>
                <w:szCs w:val="21"/>
              </w:rPr>
            </w:pPr>
            <w:r>
              <w:rPr>
                <w:rFonts w:ascii="Times New Roman" w:hAnsi="Times New Roman"/>
                <w:color w:val="000000"/>
                <w:szCs w:val="21"/>
              </w:rPr>
              <w:t>开户银行</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7D82D23">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B485CCC">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21CEA15">
            <w:pPr>
              <w:topLinePunct/>
              <w:spacing w:line="300" w:lineRule="auto"/>
              <w:jc w:val="center"/>
              <w:rPr>
                <w:rFonts w:ascii="Times New Roman" w:hAnsi="Times New Roman"/>
                <w:color w:val="000000"/>
                <w:szCs w:val="21"/>
              </w:rPr>
            </w:pPr>
            <w:r>
              <w:rPr>
                <w:rFonts w:ascii="Times New Roman" w:hAnsi="Times New Roman"/>
                <w:color w:val="000000"/>
                <w:szCs w:val="21"/>
              </w:rPr>
              <w:t>初级职称人员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A4CF7BA">
            <w:pPr>
              <w:topLinePunct/>
              <w:spacing w:line="300" w:lineRule="auto"/>
              <w:jc w:val="center"/>
              <w:rPr>
                <w:rFonts w:ascii="Times New Roman" w:hAnsi="Times New Roman"/>
                <w:color w:val="000000"/>
                <w:szCs w:val="21"/>
              </w:rPr>
            </w:pPr>
          </w:p>
        </w:tc>
      </w:tr>
      <w:tr w14:paraId="12582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1"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7726864E">
            <w:pPr>
              <w:topLinePunct/>
              <w:spacing w:line="300" w:lineRule="auto"/>
              <w:jc w:val="center"/>
              <w:rPr>
                <w:rFonts w:ascii="Times New Roman" w:hAnsi="Times New Roman"/>
                <w:color w:val="000000"/>
                <w:szCs w:val="21"/>
              </w:rPr>
            </w:pPr>
            <w:r>
              <w:rPr>
                <w:rFonts w:ascii="Times New Roman" w:hAnsi="Times New Roman"/>
                <w:color w:val="000000"/>
                <w:szCs w:val="21"/>
              </w:rPr>
              <w:t>账号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1BFB4896">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1C6BDA">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67623700">
            <w:pPr>
              <w:topLinePunct/>
              <w:spacing w:line="300" w:lineRule="auto"/>
              <w:jc w:val="center"/>
              <w:rPr>
                <w:rFonts w:ascii="Times New Roman" w:hAnsi="Times New Roman"/>
                <w:color w:val="000000"/>
              </w:rPr>
            </w:pPr>
            <w:r>
              <w:rPr>
                <w:rFonts w:ascii="Times New Roman" w:hAnsi="Times New Roman"/>
                <w:color w:val="000000"/>
                <w:szCs w:val="21"/>
              </w:rPr>
              <w:t>技  工</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DE4ECAB">
            <w:pPr>
              <w:topLinePunct/>
              <w:spacing w:line="300" w:lineRule="auto"/>
              <w:jc w:val="center"/>
              <w:rPr>
                <w:rFonts w:ascii="Times New Roman" w:hAnsi="Times New Roman"/>
                <w:color w:val="000000"/>
                <w:szCs w:val="21"/>
              </w:rPr>
            </w:pPr>
          </w:p>
        </w:tc>
      </w:tr>
      <w:tr w14:paraId="23F41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6" w:hRule="atLeast"/>
          <w:jc w:val="center"/>
        </w:trPr>
        <w:tc>
          <w:tcPr>
            <w:tcW w:w="1731" w:type="dxa"/>
            <w:tcBorders>
              <w:top w:val="single" w:color="auto" w:sz="4" w:space="0"/>
              <w:left w:val="single" w:color="auto" w:sz="4" w:space="0"/>
              <w:right w:val="single" w:color="auto" w:sz="4" w:space="0"/>
            </w:tcBorders>
            <w:vAlign w:val="center"/>
          </w:tcPr>
          <w:p w14:paraId="5A82EDE9">
            <w:pPr>
              <w:topLinePunct/>
              <w:spacing w:line="300" w:lineRule="auto"/>
              <w:ind w:firstLine="210" w:firstLineChars="100"/>
              <w:jc w:val="center"/>
              <w:rPr>
                <w:rFonts w:ascii="Times New Roman" w:hAnsi="Times New Roman"/>
                <w:color w:val="000000"/>
                <w:szCs w:val="21"/>
              </w:rPr>
            </w:pPr>
            <w:r>
              <w:rPr>
                <w:rFonts w:ascii="Times New Roman" w:hAnsi="Times New Roman"/>
                <w:color w:val="000000"/>
                <w:szCs w:val="21"/>
              </w:rPr>
              <w:t>经营范围</w:t>
            </w:r>
          </w:p>
        </w:tc>
        <w:tc>
          <w:tcPr>
            <w:tcW w:w="6853" w:type="dxa"/>
            <w:gridSpan w:val="9"/>
            <w:tcBorders>
              <w:top w:val="single" w:color="auto" w:sz="4" w:space="0"/>
              <w:left w:val="single" w:color="auto" w:sz="4" w:space="0"/>
              <w:right w:val="single" w:color="auto" w:sz="4" w:space="0"/>
            </w:tcBorders>
            <w:vAlign w:val="center"/>
          </w:tcPr>
          <w:p w14:paraId="6BEDFC47">
            <w:pPr>
              <w:topLinePunct/>
              <w:spacing w:line="300" w:lineRule="auto"/>
              <w:rPr>
                <w:rFonts w:ascii="Times New Roman" w:hAnsi="Times New Roman"/>
                <w:color w:val="000000"/>
                <w:szCs w:val="21"/>
              </w:rPr>
            </w:pPr>
          </w:p>
        </w:tc>
      </w:tr>
      <w:tr w14:paraId="11A333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66AC005E">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6F97123A">
            <w:pPr>
              <w:topLinePunct/>
              <w:spacing w:line="300" w:lineRule="auto"/>
              <w:jc w:val="center"/>
              <w:rPr>
                <w:rFonts w:ascii="Times New Roman" w:hAnsi="Times New Roman"/>
                <w:color w:val="000000"/>
                <w:szCs w:val="21"/>
              </w:rPr>
            </w:pPr>
          </w:p>
        </w:tc>
      </w:tr>
    </w:tbl>
    <w:p w14:paraId="3CFACBA0">
      <w:pPr>
        <w:spacing w:line="300" w:lineRule="auto"/>
        <w:rPr>
          <w:rFonts w:ascii="Times New Roman" w:hAnsi="Times New Roman" w:eastAsia="黑体"/>
          <w:color w:val="000000"/>
          <w:sz w:val="20"/>
        </w:rPr>
      </w:pPr>
      <w:bookmarkStart w:id="195" w:name="_Toc152045809"/>
      <w:bookmarkStart w:id="196" w:name="_Toc152042598"/>
      <w:bookmarkStart w:id="197" w:name="_Toc144974877"/>
      <w:bookmarkStart w:id="198" w:name="_Toc265953295"/>
      <w:bookmarkStart w:id="199" w:name="_Toc296602619"/>
      <w:bookmarkStart w:id="200" w:name="_Toc247514301"/>
      <w:bookmarkStart w:id="201" w:name="_Toc247527849"/>
      <w:bookmarkStart w:id="202" w:name="_Toc152042602"/>
      <w:bookmarkStart w:id="203" w:name="_Toc179632833"/>
      <w:bookmarkStart w:id="204" w:name="_Toc144974881"/>
      <w:bookmarkStart w:id="205" w:name="_Toc152045813"/>
    </w:p>
    <w:p w14:paraId="7C62A013">
      <w:pPr>
        <w:spacing w:line="300" w:lineRule="auto"/>
        <w:rPr>
          <w:rFonts w:ascii="Times New Roman" w:hAnsi="Times New Roman" w:eastAsia="黑体"/>
          <w:color w:val="000000"/>
          <w:sz w:val="24"/>
        </w:rPr>
      </w:pPr>
      <w:r>
        <w:rPr>
          <w:rFonts w:ascii="Times New Roman" w:hAnsi="Times New Roman" w:eastAsia="黑体"/>
          <w:color w:val="000000"/>
          <w:sz w:val="24"/>
        </w:rPr>
        <w:t>附企业资料复印件：</w:t>
      </w:r>
    </w:p>
    <w:p w14:paraId="6EA3E8C5">
      <w:pPr>
        <w:spacing w:line="300" w:lineRule="auto"/>
        <w:rPr>
          <w:rFonts w:ascii="Times New Roman" w:hAnsi="Times New Roman" w:eastAsia="黑体"/>
          <w:color w:val="000000"/>
          <w:sz w:val="24"/>
        </w:rPr>
      </w:pPr>
      <w:r>
        <w:rPr>
          <w:rFonts w:ascii="Times New Roman" w:hAnsi="Times New Roman" w:eastAsia="黑体"/>
          <w:color w:val="000000"/>
          <w:sz w:val="24"/>
        </w:rPr>
        <w:t>1、企业营业执照副本</w:t>
      </w:r>
    </w:p>
    <w:p w14:paraId="2125AEC0">
      <w:pPr>
        <w:spacing w:line="300" w:lineRule="auto"/>
        <w:rPr>
          <w:rFonts w:ascii="Times New Roman" w:hAnsi="Times New Roman" w:eastAsia="黑体"/>
          <w:color w:val="000000"/>
          <w:sz w:val="24"/>
        </w:rPr>
      </w:pPr>
      <w:r>
        <w:rPr>
          <w:rFonts w:ascii="Times New Roman" w:hAnsi="Times New Roman" w:eastAsia="黑体"/>
          <w:color w:val="000000"/>
          <w:sz w:val="24"/>
        </w:rPr>
        <w:t>2、企业资质等级证书副本</w:t>
      </w:r>
    </w:p>
    <w:p w14:paraId="3DADC5DB">
      <w:pPr>
        <w:spacing w:line="300" w:lineRule="auto"/>
        <w:rPr>
          <w:rFonts w:ascii="Times New Roman" w:hAnsi="Times New Roman" w:eastAsia="黑体"/>
          <w:color w:val="000000"/>
          <w:sz w:val="24"/>
        </w:rPr>
      </w:pPr>
      <w:r>
        <w:rPr>
          <w:rFonts w:ascii="Times New Roman" w:hAnsi="Times New Roman" w:eastAsia="黑体"/>
          <w:color w:val="000000"/>
          <w:sz w:val="24"/>
        </w:rPr>
        <w:t>3、企业安全生产许可证</w:t>
      </w:r>
    </w:p>
    <w:p w14:paraId="4E8C2EAF">
      <w:pPr>
        <w:spacing w:line="300" w:lineRule="auto"/>
        <w:rPr>
          <w:rFonts w:ascii="Times New Roman" w:hAnsi="Times New Roman" w:eastAsia="黑体"/>
          <w:color w:val="000000"/>
          <w:sz w:val="24"/>
        </w:rPr>
      </w:pPr>
      <w:r>
        <w:rPr>
          <w:rFonts w:ascii="Times New Roman" w:hAnsi="Times New Roman" w:eastAsia="黑体"/>
          <w:color w:val="000000"/>
          <w:sz w:val="24"/>
        </w:rPr>
        <w:t>4、施工企业主要负责人安全生产考核合格证</w:t>
      </w:r>
    </w:p>
    <w:p w14:paraId="72E7DE64">
      <w:pPr>
        <w:spacing w:line="300" w:lineRule="auto"/>
        <w:rPr>
          <w:rFonts w:ascii="Times New Roman" w:hAnsi="Times New Roman" w:eastAsia="黑体"/>
          <w:color w:val="000000"/>
          <w:sz w:val="24"/>
        </w:rPr>
      </w:pPr>
      <w:r>
        <w:rPr>
          <w:rFonts w:ascii="Times New Roman" w:hAnsi="Times New Roman" w:eastAsia="黑体"/>
          <w:color w:val="000000"/>
          <w:sz w:val="24"/>
        </w:rPr>
        <w:t>5、企业各项管理体系认证</w:t>
      </w:r>
    </w:p>
    <w:p w14:paraId="444B94F8">
      <w:pPr>
        <w:spacing w:line="300" w:lineRule="auto"/>
        <w:rPr>
          <w:rFonts w:ascii="Times New Roman" w:hAnsi="Times New Roman" w:eastAsia="黑体"/>
          <w:color w:val="000000"/>
          <w:sz w:val="24"/>
        </w:rPr>
      </w:pPr>
      <w:r>
        <w:rPr>
          <w:rFonts w:ascii="Times New Roman" w:hAnsi="Times New Roman" w:eastAsia="黑体"/>
          <w:color w:val="000000"/>
          <w:sz w:val="24"/>
        </w:rPr>
        <w:t>6、企业荣誉</w:t>
      </w:r>
    </w:p>
    <w:p w14:paraId="229EC4A3">
      <w:pPr>
        <w:spacing w:line="300" w:lineRule="auto"/>
        <w:rPr>
          <w:rFonts w:ascii="Times New Roman" w:hAnsi="Times New Roman"/>
        </w:rPr>
      </w:pPr>
      <w:r>
        <w:rPr>
          <w:rFonts w:ascii="Times New Roman" w:hAnsi="Times New Roman"/>
        </w:rPr>
        <w:t>7、……</w:t>
      </w:r>
    </w:p>
    <w:p w14:paraId="3FEA7330">
      <w:pPr>
        <w:spacing w:line="300" w:lineRule="auto"/>
        <w:rPr>
          <w:rFonts w:ascii="Times New Roman" w:hAnsi="Times New Roman" w:eastAsia="黑体"/>
          <w:color w:val="000000"/>
          <w:sz w:val="20"/>
          <w:szCs w:val="20"/>
        </w:rPr>
      </w:pPr>
    </w:p>
    <w:p w14:paraId="2051C757">
      <w:pPr>
        <w:pStyle w:val="4"/>
        <w:spacing w:before="0" w:after="0" w:line="300" w:lineRule="auto"/>
        <w:jc w:val="center"/>
        <w:rPr>
          <w:rFonts w:hint="eastAsia"/>
          <w:color w:val="000000"/>
        </w:rPr>
      </w:pPr>
      <w:bookmarkStart w:id="206" w:name="_Toc20380"/>
      <w:r>
        <w:rPr>
          <w:color w:val="000000"/>
        </w:rPr>
        <w:t>（二）近三年财务状况</w:t>
      </w:r>
      <w:bookmarkEnd w:id="195"/>
      <w:bookmarkEnd w:id="196"/>
      <w:bookmarkEnd w:id="197"/>
      <w:bookmarkEnd w:id="198"/>
      <w:bookmarkEnd w:id="199"/>
      <w:bookmarkEnd w:id="200"/>
      <w:bookmarkEnd w:id="201"/>
      <w:bookmarkEnd w:id="206"/>
    </w:p>
    <w:p w14:paraId="7C591258">
      <w:pPr>
        <w:topLinePunct/>
        <w:spacing w:line="300" w:lineRule="auto"/>
        <w:ind w:firstLine="480" w:firstLineChars="200"/>
        <w:jc w:val="left"/>
        <w:rPr>
          <w:rFonts w:ascii="Times New Roman" w:hAnsi="Times New Roman"/>
          <w:color w:val="000000"/>
          <w:sz w:val="24"/>
        </w:rPr>
      </w:pPr>
      <w:r>
        <w:rPr>
          <w:rFonts w:ascii="Times New Roman" w:hAnsi="Times New Roman"/>
          <w:color w:val="000000"/>
          <w:sz w:val="24"/>
        </w:rPr>
        <w:t>近三年财务状况良好的证明材料（资产负债表、现金流量表、利润表、财务情况说明书、银行资信证明等均可）</w:t>
      </w:r>
    </w:p>
    <w:p w14:paraId="0021AD96">
      <w:pPr>
        <w:pStyle w:val="4"/>
        <w:spacing w:before="0" w:after="0" w:line="300" w:lineRule="auto"/>
        <w:jc w:val="center"/>
        <w:rPr>
          <w:rFonts w:hint="eastAsia"/>
          <w:color w:val="000000"/>
        </w:rPr>
      </w:pPr>
      <w:bookmarkStart w:id="207" w:name="_Toc152045810"/>
      <w:bookmarkStart w:id="208" w:name="_Toc247514302"/>
      <w:bookmarkStart w:id="209" w:name="_Toc144974878"/>
      <w:bookmarkStart w:id="210" w:name="_Toc247527850"/>
      <w:bookmarkStart w:id="211" w:name="_Toc152042599"/>
      <w:bookmarkStart w:id="212" w:name="_Toc296602620"/>
      <w:bookmarkStart w:id="213" w:name="_Toc265953296"/>
    </w:p>
    <w:p w14:paraId="270D1176">
      <w:pPr>
        <w:pStyle w:val="4"/>
        <w:spacing w:before="0" w:after="0" w:line="300" w:lineRule="auto"/>
        <w:jc w:val="center"/>
        <w:rPr>
          <w:rFonts w:hint="eastAsia"/>
          <w:color w:val="000000"/>
          <w:sz w:val="23"/>
          <w:szCs w:val="23"/>
        </w:rPr>
      </w:pPr>
      <w:bookmarkStart w:id="214" w:name="_Toc27603"/>
      <w:r>
        <w:rPr>
          <w:color w:val="000000"/>
        </w:rPr>
        <w:t>（三）近</w:t>
      </w:r>
      <w:r>
        <w:rPr>
          <w:rFonts w:hint="eastAsia"/>
          <w:color w:val="000000"/>
        </w:rPr>
        <w:t>三</w:t>
      </w:r>
      <w:r>
        <w:rPr>
          <w:color w:val="000000"/>
        </w:rPr>
        <w:t>年完成的类似项目情况表</w:t>
      </w:r>
      <w:bookmarkEnd w:id="207"/>
      <w:bookmarkEnd w:id="208"/>
      <w:bookmarkEnd w:id="209"/>
      <w:bookmarkEnd w:id="210"/>
      <w:bookmarkEnd w:id="211"/>
      <w:bookmarkEnd w:id="212"/>
      <w:bookmarkEnd w:id="213"/>
      <w:bookmarkEnd w:id="214"/>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6449"/>
      </w:tblGrid>
      <w:tr w14:paraId="752B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258" w:type="dxa"/>
            <w:vAlign w:val="center"/>
          </w:tcPr>
          <w:p w14:paraId="3B6397A9">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49" w:type="dxa"/>
          </w:tcPr>
          <w:p w14:paraId="76BE14AB">
            <w:pPr>
              <w:topLinePunct/>
              <w:spacing w:line="300" w:lineRule="auto"/>
              <w:rPr>
                <w:rFonts w:ascii="Times New Roman" w:hAnsi="Times New Roman"/>
                <w:color w:val="000000"/>
                <w:szCs w:val="21"/>
              </w:rPr>
            </w:pPr>
          </w:p>
        </w:tc>
      </w:tr>
      <w:tr w14:paraId="1897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2F89F9D6">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49" w:type="dxa"/>
          </w:tcPr>
          <w:p w14:paraId="5B424681">
            <w:pPr>
              <w:topLinePunct/>
              <w:spacing w:line="300" w:lineRule="auto"/>
              <w:rPr>
                <w:rFonts w:ascii="Times New Roman" w:hAnsi="Times New Roman"/>
                <w:color w:val="000000"/>
                <w:szCs w:val="21"/>
              </w:rPr>
            </w:pPr>
          </w:p>
        </w:tc>
      </w:tr>
      <w:tr w14:paraId="28DC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258" w:type="dxa"/>
            <w:vAlign w:val="center"/>
          </w:tcPr>
          <w:p w14:paraId="0EB370EA">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49" w:type="dxa"/>
          </w:tcPr>
          <w:p w14:paraId="14FF7FF3">
            <w:pPr>
              <w:topLinePunct/>
              <w:spacing w:line="300" w:lineRule="auto"/>
              <w:rPr>
                <w:rFonts w:ascii="Times New Roman" w:hAnsi="Times New Roman"/>
                <w:color w:val="000000"/>
                <w:szCs w:val="21"/>
              </w:rPr>
            </w:pPr>
          </w:p>
        </w:tc>
      </w:tr>
      <w:tr w14:paraId="7061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258" w:type="dxa"/>
            <w:vAlign w:val="center"/>
          </w:tcPr>
          <w:p w14:paraId="27FFD782">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49" w:type="dxa"/>
          </w:tcPr>
          <w:p w14:paraId="1CFB510C">
            <w:pPr>
              <w:topLinePunct/>
              <w:spacing w:line="300" w:lineRule="auto"/>
              <w:rPr>
                <w:rFonts w:ascii="Times New Roman" w:hAnsi="Times New Roman"/>
                <w:color w:val="000000"/>
                <w:szCs w:val="21"/>
              </w:rPr>
            </w:pPr>
          </w:p>
        </w:tc>
      </w:tr>
      <w:tr w14:paraId="5E38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258" w:type="dxa"/>
            <w:vAlign w:val="center"/>
          </w:tcPr>
          <w:p w14:paraId="54CBD87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49" w:type="dxa"/>
          </w:tcPr>
          <w:p w14:paraId="2B3D0010">
            <w:pPr>
              <w:topLinePunct/>
              <w:spacing w:line="300" w:lineRule="auto"/>
              <w:rPr>
                <w:rFonts w:ascii="Times New Roman" w:hAnsi="Times New Roman"/>
                <w:color w:val="000000"/>
                <w:szCs w:val="21"/>
              </w:rPr>
            </w:pPr>
          </w:p>
        </w:tc>
      </w:tr>
      <w:tr w14:paraId="36E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258" w:type="dxa"/>
            <w:vAlign w:val="center"/>
          </w:tcPr>
          <w:p w14:paraId="2DE3675E">
            <w:pPr>
              <w:topLinePunct/>
              <w:spacing w:line="300" w:lineRule="auto"/>
              <w:jc w:val="center"/>
              <w:rPr>
                <w:rFonts w:ascii="Times New Roman" w:hAnsi="Times New Roman"/>
                <w:color w:val="000000"/>
                <w:szCs w:val="21"/>
              </w:rPr>
            </w:pPr>
            <w:r>
              <w:rPr>
                <w:rFonts w:ascii="Times New Roman" w:hAnsi="Times New Roman"/>
                <w:color w:val="000000"/>
                <w:szCs w:val="21"/>
              </w:rPr>
              <w:t>合同价格</w:t>
            </w:r>
          </w:p>
        </w:tc>
        <w:tc>
          <w:tcPr>
            <w:tcW w:w="6449" w:type="dxa"/>
          </w:tcPr>
          <w:p w14:paraId="08015A2B">
            <w:pPr>
              <w:topLinePunct/>
              <w:spacing w:line="300" w:lineRule="auto"/>
              <w:rPr>
                <w:rFonts w:ascii="Times New Roman" w:hAnsi="Times New Roman"/>
                <w:color w:val="000000"/>
                <w:szCs w:val="21"/>
              </w:rPr>
            </w:pPr>
          </w:p>
        </w:tc>
      </w:tr>
      <w:tr w14:paraId="0242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35CE39B9">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49" w:type="dxa"/>
          </w:tcPr>
          <w:p w14:paraId="43893850">
            <w:pPr>
              <w:topLinePunct/>
              <w:spacing w:line="300" w:lineRule="auto"/>
              <w:rPr>
                <w:rFonts w:ascii="Times New Roman" w:hAnsi="Times New Roman"/>
                <w:color w:val="000000"/>
                <w:szCs w:val="21"/>
              </w:rPr>
            </w:pPr>
          </w:p>
        </w:tc>
      </w:tr>
      <w:tr w14:paraId="36F4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58" w:type="dxa"/>
            <w:vAlign w:val="center"/>
          </w:tcPr>
          <w:p w14:paraId="3E001D42">
            <w:pPr>
              <w:topLinePunct/>
              <w:spacing w:line="300" w:lineRule="auto"/>
              <w:jc w:val="center"/>
              <w:rPr>
                <w:rFonts w:ascii="Times New Roman" w:hAnsi="Times New Roman"/>
                <w:color w:val="000000"/>
                <w:szCs w:val="21"/>
              </w:rPr>
            </w:pPr>
            <w:r>
              <w:rPr>
                <w:rFonts w:ascii="Times New Roman" w:hAnsi="Times New Roman"/>
                <w:color w:val="000000"/>
              </w:rPr>
              <w:t>竣工</w:t>
            </w:r>
            <w:r>
              <w:rPr>
                <w:rFonts w:ascii="Times New Roman" w:hAnsi="Times New Roman"/>
                <w:color w:val="000000"/>
                <w:szCs w:val="21"/>
              </w:rPr>
              <w:t>日期</w:t>
            </w:r>
          </w:p>
        </w:tc>
        <w:tc>
          <w:tcPr>
            <w:tcW w:w="6449" w:type="dxa"/>
          </w:tcPr>
          <w:p w14:paraId="256F3942">
            <w:pPr>
              <w:topLinePunct/>
              <w:spacing w:line="300" w:lineRule="auto"/>
              <w:rPr>
                <w:rFonts w:ascii="Times New Roman" w:hAnsi="Times New Roman"/>
                <w:color w:val="000000"/>
                <w:szCs w:val="21"/>
              </w:rPr>
            </w:pPr>
          </w:p>
        </w:tc>
      </w:tr>
      <w:tr w14:paraId="1517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58140E0F">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49" w:type="dxa"/>
          </w:tcPr>
          <w:p w14:paraId="146C2D6B">
            <w:pPr>
              <w:topLinePunct/>
              <w:spacing w:line="300" w:lineRule="auto"/>
              <w:rPr>
                <w:rFonts w:ascii="Times New Roman" w:hAnsi="Times New Roman"/>
                <w:color w:val="000000"/>
                <w:szCs w:val="21"/>
              </w:rPr>
            </w:pPr>
          </w:p>
        </w:tc>
      </w:tr>
      <w:tr w14:paraId="2C38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258" w:type="dxa"/>
            <w:vAlign w:val="center"/>
          </w:tcPr>
          <w:p w14:paraId="3304F8B6">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49" w:type="dxa"/>
          </w:tcPr>
          <w:p w14:paraId="60C622FA">
            <w:pPr>
              <w:topLinePunct/>
              <w:spacing w:line="300" w:lineRule="auto"/>
              <w:rPr>
                <w:rFonts w:ascii="Times New Roman" w:hAnsi="Times New Roman"/>
                <w:color w:val="000000"/>
                <w:szCs w:val="21"/>
              </w:rPr>
            </w:pPr>
          </w:p>
        </w:tc>
      </w:tr>
      <w:tr w14:paraId="13E0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258" w:type="dxa"/>
            <w:vAlign w:val="center"/>
          </w:tcPr>
          <w:p w14:paraId="148D8BDB">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49" w:type="dxa"/>
          </w:tcPr>
          <w:p w14:paraId="153B029D">
            <w:pPr>
              <w:topLinePunct/>
              <w:spacing w:line="300" w:lineRule="auto"/>
              <w:rPr>
                <w:rFonts w:ascii="Times New Roman" w:hAnsi="Times New Roman"/>
                <w:color w:val="000000"/>
                <w:szCs w:val="21"/>
              </w:rPr>
            </w:pPr>
          </w:p>
        </w:tc>
      </w:tr>
      <w:tr w14:paraId="13D2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258" w:type="dxa"/>
            <w:vAlign w:val="center"/>
          </w:tcPr>
          <w:p w14:paraId="13A28105">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49" w:type="dxa"/>
          </w:tcPr>
          <w:p w14:paraId="5C3C63EC">
            <w:pPr>
              <w:topLinePunct/>
              <w:spacing w:line="300" w:lineRule="auto"/>
              <w:rPr>
                <w:rFonts w:ascii="Times New Roman" w:hAnsi="Times New Roman"/>
                <w:color w:val="000000"/>
                <w:szCs w:val="21"/>
              </w:rPr>
            </w:pPr>
          </w:p>
        </w:tc>
      </w:tr>
      <w:tr w14:paraId="42CB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2258" w:type="dxa"/>
            <w:vAlign w:val="center"/>
          </w:tcPr>
          <w:p w14:paraId="037C561E">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49" w:type="dxa"/>
          </w:tcPr>
          <w:p w14:paraId="54007A30">
            <w:pPr>
              <w:topLinePunct/>
              <w:spacing w:line="300" w:lineRule="auto"/>
              <w:rPr>
                <w:rFonts w:ascii="Times New Roman" w:hAnsi="Times New Roman"/>
                <w:color w:val="000000"/>
                <w:szCs w:val="21"/>
              </w:rPr>
            </w:pPr>
          </w:p>
          <w:p w14:paraId="315C739B">
            <w:pPr>
              <w:topLinePunct/>
              <w:spacing w:line="300" w:lineRule="auto"/>
              <w:rPr>
                <w:rFonts w:ascii="Times New Roman" w:hAnsi="Times New Roman"/>
                <w:color w:val="000000"/>
                <w:szCs w:val="21"/>
              </w:rPr>
            </w:pPr>
          </w:p>
        </w:tc>
      </w:tr>
      <w:tr w14:paraId="41DE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2127780A">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49" w:type="dxa"/>
          </w:tcPr>
          <w:p w14:paraId="0234E26A">
            <w:pPr>
              <w:topLinePunct/>
              <w:spacing w:line="300" w:lineRule="auto"/>
              <w:rPr>
                <w:rFonts w:ascii="Times New Roman" w:hAnsi="Times New Roman"/>
                <w:color w:val="000000"/>
                <w:szCs w:val="21"/>
              </w:rPr>
            </w:pPr>
          </w:p>
        </w:tc>
      </w:tr>
    </w:tbl>
    <w:p w14:paraId="18AA55DC">
      <w:pPr>
        <w:topLinePunct/>
        <w:spacing w:line="300" w:lineRule="auto"/>
        <w:ind w:firstLine="420" w:firstLineChars="200"/>
        <w:jc w:val="left"/>
        <w:rPr>
          <w:rFonts w:ascii="Times New Roman" w:hAnsi="Times New Roman"/>
          <w:color w:val="000000"/>
        </w:rPr>
      </w:pPr>
      <w:r>
        <w:rPr>
          <w:rFonts w:ascii="Times New Roman" w:hAnsi="Times New Roman"/>
          <w:color w:val="000000"/>
        </w:rPr>
        <w:t>应附中标通知书或合同协议书，且附工程接收证书（工程竣工验收证书）原件及复印件，具体年份要求见须知前附表。</w:t>
      </w:r>
    </w:p>
    <w:p w14:paraId="59AC9936">
      <w:pPr>
        <w:topLinePunct/>
        <w:spacing w:line="300" w:lineRule="auto"/>
        <w:ind w:firstLine="420" w:firstLineChars="200"/>
        <w:jc w:val="left"/>
        <w:rPr>
          <w:rFonts w:ascii="Times New Roman" w:hAnsi="Times New Roman"/>
          <w:color w:val="000000"/>
        </w:rPr>
      </w:pPr>
    </w:p>
    <w:p w14:paraId="4D7E809C">
      <w:pPr>
        <w:topLinePunct/>
        <w:spacing w:line="300" w:lineRule="auto"/>
        <w:ind w:firstLine="420" w:firstLineChars="200"/>
        <w:jc w:val="left"/>
        <w:rPr>
          <w:rFonts w:ascii="Times New Roman" w:hAnsi="Times New Roman"/>
          <w:color w:val="000000"/>
        </w:rPr>
      </w:pPr>
    </w:p>
    <w:p w14:paraId="0918D244">
      <w:pPr>
        <w:topLinePunct/>
        <w:spacing w:line="300" w:lineRule="auto"/>
        <w:ind w:firstLine="420" w:firstLineChars="200"/>
        <w:jc w:val="left"/>
        <w:rPr>
          <w:rFonts w:ascii="Times New Roman" w:hAnsi="Times New Roman"/>
          <w:color w:val="000000"/>
        </w:rPr>
      </w:pPr>
    </w:p>
    <w:p w14:paraId="18473C45">
      <w:pPr>
        <w:pStyle w:val="4"/>
        <w:spacing w:before="0" w:after="0" w:line="300" w:lineRule="auto"/>
        <w:jc w:val="center"/>
        <w:rPr>
          <w:rFonts w:hint="eastAsia"/>
          <w:color w:val="000000"/>
        </w:rPr>
      </w:pPr>
      <w:bookmarkStart w:id="215" w:name="_Toc12069"/>
      <w:bookmarkStart w:id="216" w:name="_Toc179632831"/>
      <w:r>
        <w:rPr>
          <w:color w:val="000000"/>
        </w:rPr>
        <w:t>（四）正在施工的和新承接的项目情况表</w:t>
      </w:r>
      <w:bookmarkEnd w:id="215"/>
      <w:bookmarkEnd w:id="216"/>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6403"/>
      </w:tblGrid>
      <w:tr w14:paraId="0F99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19" w:type="dxa"/>
            <w:vAlign w:val="center"/>
          </w:tcPr>
          <w:p w14:paraId="7FDFD411">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03" w:type="dxa"/>
          </w:tcPr>
          <w:p w14:paraId="48D7886F">
            <w:pPr>
              <w:topLinePunct/>
              <w:spacing w:line="300" w:lineRule="auto"/>
              <w:rPr>
                <w:rFonts w:ascii="Times New Roman" w:hAnsi="Times New Roman"/>
                <w:color w:val="000000"/>
                <w:szCs w:val="21"/>
              </w:rPr>
            </w:pPr>
          </w:p>
        </w:tc>
      </w:tr>
      <w:tr w14:paraId="6CBB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19" w:type="dxa"/>
            <w:vAlign w:val="center"/>
          </w:tcPr>
          <w:p w14:paraId="20E68D7F">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03" w:type="dxa"/>
          </w:tcPr>
          <w:p w14:paraId="47CF09E4">
            <w:pPr>
              <w:topLinePunct/>
              <w:spacing w:line="300" w:lineRule="auto"/>
              <w:rPr>
                <w:rFonts w:ascii="Times New Roman" w:hAnsi="Times New Roman"/>
                <w:color w:val="000000"/>
                <w:szCs w:val="21"/>
              </w:rPr>
            </w:pPr>
          </w:p>
        </w:tc>
      </w:tr>
      <w:tr w14:paraId="7946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19" w:type="dxa"/>
            <w:vAlign w:val="center"/>
          </w:tcPr>
          <w:p w14:paraId="6A2AFE17">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03" w:type="dxa"/>
          </w:tcPr>
          <w:p w14:paraId="0E62A455">
            <w:pPr>
              <w:topLinePunct/>
              <w:spacing w:line="300" w:lineRule="auto"/>
              <w:rPr>
                <w:rFonts w:ascii="Times New Roman" w:hAnsi="Times New Roman"/>
                <w:color w:val="000000"/>
                <w:szCs w:val="21"/>
              </w:rPr>
            </w:pPr>
          </w:p>
        </w:tc>
      </w:tr>
      <w:tr w14:paraId="5AEE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19" w:type="dxa"/>
            <w:vAlign w:val="center"/>
          </w:tcPr>
          <w:p w14:paraId="330659AC">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03" w:type="dxa"/>
          </w:tcPr>
          <w:p w14:paraId="15AAF7B9">
            <w:pPr>
              <w:topLinePunct/>
              <w:spacing w:line="300" w:lineRule="auto"/>
              <w:rPr>
                <w:rFonts w:ascii="Times New Roman" w:hAnsi="Times New Roman"/>
                <w:color w:val="000000"/>
                <w:szCs w:val="21"/>
              </w:rPr>
            </w:pPr>
          </w:p>
        </w:tc>
      </w:tr>
      <w:tr w14:paraId="0995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19" w:type="dxa"/>
            <w:vAlign w:val="center"/>
          </w:tcPr>
          <w:p w14:paraId="00E7AE8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03" w:type="dxa"/>
          </w:tcPr>
          <w:p w14:paraId="531FE4B5">
            <w:pPr>
              <w:topLinePunct/>
              <w:spacing w:line="300" w:lineRule="auto"/>
              <w:rPr>
                <w:rFonts w:ascii="Times New Roman" w:hAnsi="Times New Roman"/>
                <w:color w:val="000000"/>
                <w:szCs w:val="21"/>
              </w:rPr>
            </w:pPr>
          </w:p>
        </w:tc>
      </w:tr>
      <w:tr w14:paraId="2135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19" w:type="dxa"/>
            <w:vAlign w:val="center"/>
          </w:tcPr>
          <w:p w14:paraId="56FC6F50">
            <w:pPr>
              <w:topLinePunct/>
              <w:spacing w:line="300" w:lineRule="auto"/>
              <w:jc w:val="center"/>
              <w:rPr>
                <w:rFonts w:ascii="Times New Roman" w:hAnsi="Times New Roman"/>
                <w:color w:val="000000"/>
                <w:szCs w:val="21"/>
              </w:rPr>
            </w:pPr>
            <w:r>
              <w:rPr>
                <w:rFonts w:ascii="Times New Roman" w:hAnsi="Times New Roman"/>
                <w:color w:val="000000"/>
                <w:szCs w:val="21"/>
              </w:rPr>
              <w:t>签约合同价</w:t>
            </w:r>
          </w:p>
        </w:tc>
        <w:tc>
          <w:tcPr>
            <w:tcW w:w="6403" w:type="dxa"/>
          </w:tcPr>
          <w:p w14:paraId="2D473E82">
            <w:pPr>
              <w:topLinePunct/>
              <w:spacing w:line="300" w:lineRule="auto"/>
              <w:rPr>
                <w:rFonts w:ascii="Times New Roman" w:hAnsi="Times New Roman"/>
                <w:color w:val="000000"/>
                <w:szCs w:val="21"/>
              </w:rPr>
            </w:pPr>
          </w:p>
        </w:tc>
      </w:tr>
      <w:tr w14:paraId="3070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9" w:type="dxa"/>
            <w:vAlign w:val="center"/>
          </w:tcPr>
          <w:p w14:paraId="28A0BE2E">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03" w:type="dxa"/>
          </w:tcPr>
          <w:p w14:paraId="39ACACE0">
            <w:pPr>
              <w:topLinePunct/>
              <w:spacing w:line="300" w:lineRule="auto"/>
              <w:rPr>
                <w:rFonts w:ascii="Times New Roman" w:hAnsi="Times New Roman"/>
                <w:color w:val="000000"/>
                <w:szCs w:val="21"/>
              </w:rPr>
            </w:pPr>
          </w:p>
        </w:tc>
      </w:tr>
      <w:tr w14:paraId="1B0B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19" w:type="dxa"/>
            <w:vAlign w:val="center"/>
          </w:tcPr>
          <w:p w14:paraId="72DF4321">
            <w:pPr>
              <w:topLinePunct/>
              <w:spacing w:line="300" w:lineRule="auto"/>
              <w:jc w:val="center"/>
              <w:rPr>
                <w:rFonts w:ascii="Times New Roman" w:hAnsi="Times New Roman"/>
                <w:color w:val="000000"/>
                <w:szCs w:val="21"/>
              </w:rPr>
            </w:pPr>
            <w:r>
              <w:rPr>
                <w:rFonts w:ascii="Times New Roman" w:hAnsi="Times New Roman"/>
                <w:color w:val="000000"/>
                <w:szCs w:val="21"/>
              </w:rPr>
              <w:t>计划</w:t>
            </w:r>
            <w:r>
              <w:rPr>
                <w:rFonts w:ascii="Times New Roman" w:hAnsi="Times New Roman"/>
                <w:color w:val="000000"/>
              </w:rPr>
              <w:t>竣工</w:t>
            </w:r>
            <w:r>
              <w:rPr>
                <w:rFonts w:ascii="Times New Roman" w:hAnsi="Times New Roman"/>
                <w:color w:val="000000"/>
                <w:szCs w:val="21"/>
              </w:rPr>
              <w:t>日期</w:t>
            </w:r>
          </w:p>
        </w:tc>
        <w:tc>
          <w:tcPr>
            <w:tcW w:w="6403" w:type="dxa"/>
          </w:tcPr>
          <w:p w14:paraId="7A1F3A47">
            <w:pPr>
              <w:topLinePunct/>
              <w:spacing w:line="300" w:lineRule="auto"/>
              <w:rPr>
                <w:rFonts w:ascii="Times New Roman" w:hAnsi="Times New Roman"/>
                <w:color w:val="000000"/>
                <w:szCs w:val="21"/>
              </w:rPr>
            </w:pPr>
          </w:p>
        </w:tc>
      </w:tr>
      <w:tr w14:paraId="083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19" w:type="dxa"/>
            <w:vAlign w:val="center"/>
          </w:tcPr>
          <w:p w14:paraId="2940E12E">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03" w:type="dxa"/>
          </w:tcPr>
          <w:p w14:paraId="390B7914">
            <w:pPr>
              <w:topLinePunct/>
              <w:spacing w:line="300" w:lineRule="auto"/>
              <w:rPr>
                <w:rFonts w:ascii="Times New Roman" w:hAnsi="Times New Roman"/>
                <w:color w:val="000000"/>
                <w:szCs w:val="21"/>
              </w:rPr>
            </w:pPr>
          </w:p>
        </w:tc>
      </w:tr>
      <w:tr w14:paraId="66C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19" w:type="dxa"/>
            <w:vAlign w:val="center"/>
          </w:tcPr>
          <w:p w14:paraId="522F0130">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03" w:type="dxa"/>
          </w:tcPr>
          <w:p w14:paraId="704D76A9">
            <w:pPr>
              <w:topLinePunct/>
              <w:spacing w:line="300" w:lineRule="auto"/>
              <w:rPr>
                <w:rFonts w:ascii="Times New Roman" w:hAnsi="Times New Roman"/>
                <w:color w:val="000000"/>
                <w:szCs w:val="21"/>
              </w:rPr>
            </w:pPr>
          </w:p>
        </w:tc>
      </w:tr>
      <w:tr w14:paraId="1E09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19" w:type="dxa"/>
            <w:vAlign w:val="center"/>
          </w:tcPr>
          <w:p w14:paraId="0D6042C8">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03" w:type="dxa"/>
          </w:tcPr>
          <w:p w14:paraId="40EEA3A9">
            <w:pPr>
              <w:topLinePunct/>
              <w:spacing w:line="300" w:lineRule="auto"/>
              <w:rPr>
                <w:rFonts w:ascii="Times New Roman" w:hAnsi="Times New Roman"/>
                <w:color w:val="000000"/>
                <w:szCs w:val="21"/>
              </w:rPr>
            </w:pPr>
          </w:p>
        </w:tc>
      </w:tr>
      <w:tr w14:paraId="5285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19" w:type="dxa"/>
            <w:vAlign w:val="center"/>
          </w:tcPr>
          <w:p w14:paraId="6826712D">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03" w:type="dxa"/>
          </w:tcPr>
          <w:p w14:paraId="25D0B393">
            <w:pPr>
              <w:topLinePunct/>
              <w:spacing w:line="300" w:lineRule="auto"/>
              <w:rPr>
                <w:rFonts w:ascii="Times New Roman" w:hAnsi="Times New Roman"/>
                <w:color w:val="000000"/>
                <w:szCs w:val="21"/>
              </w:rPr>
            </w:pPr>
          </w:p>
        </w:tc>
      </w:tr>
      <w:tr w14:paraId="28C3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19" w:type="dxa"/>
            <w:vAlign w:val="center"/>
          </w:tcPr>
          <w:p w14:paraId="743A1A91">
            <w:pPr>
              <w:topLinePunct/>
              <w:spacing w:line="300" w:lineRule="auto"/>
              <w:jc w:val="center"/>
              <w:rPr>
                <w:rFonts w:ascii="Times New Roman" w:hAnsi="Times New Roman"/>
                <w:color w:val="000000"/>
                <w:szCs w:val="21"/>
              </w:rPr>
            </w:pPr>
            <w:r>
              <w:rPr>
                <w:rFonts w:ascii="Times New Roman" w:hAnsi="Times New Roman"/>
                <w:color w:val="000000"/>
                <w:szCs w:val="21"/>
              </w:rPr>
              <w:t>总监理工程师及电话</w:t>
            </w:r>
          </w:p>
        </w:tc>
        <w:tc>
          <w:tcPr>
            <w:tcW w:w="6403" w:type="dxa"/>
          </w:tcPr>
          <w:p w14:paraId="741A1C77">
            <w:pPr>
              <w:topLinePunct/>
              <w:spacing w:line="300" w:lineRule="auto"/>
              <w:rPr>
                <w:rFonts w:ascii="Times New Roman" w:hAnsi="Times New Roman"/>
                <w:color w:val="000000"/>
                <w:szCs w:val="21"/>
              </w:rPr>
            </w:pPr>
          </w:p>
        </w:tc>
      </w:tr>
      <w:tr w14:paraId="6003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5C26508D">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03" w:type="dxa"/>
          </w:tcPr>
          <w:p w14:paraId="44ED2776">
            <w:pPr>
              <w:topLinePunct/>
              <w:spacing w:line="300" w:lineRule="auto"/>
              <w:rPr>
                <w:rFonts w:ascii="Times New Roman" w:hAnsi="Times New Roman"/>
                <w:color w:val="000000"/>
                <w:szCs w:val="21"/>
              </w:rPr>
            </w:pPr>
          </w:p>
          <w:p w14:paraId="590FA578">
            <w:pPr>
              <w:topLinePunct/>
              <w:spacing w:line="300" w:lineRule="auto"/>
              <w:rPr>
                <w:rFonts w:ascii="Times New Roman" w:hAnsi="Times New Roman"/>
                <w:color w:val="000000"/>
                <w:szCs w:val="21"/>
              </w:rPr>
            </w:pPr>
          </w:p>
          <w:p w14:paraId="484BD0FF">
            <w:pPr>
              <w:topLinePunct/>
              <w:spacing w:line="300" w:lineRule="auto"/>
              <w:rPr>
                <w:rFonts w:ascii="Times New Roman" w:hAnsi="Times New Roman"/>
                <w:color w:val="000000"/>
                <w:szCs w:val="21"/>
              </w:rPr>
            </w:pPr>
          </w:p>
          <w:p w14:paraId="1F9DAFC3">
            <w:pPr>
              <w:topLinePunct/>
              <w:spacing w:line="300" w:lineRule="auto"/>
              <w:rPr>
                <w:rFonts w:ascii="Times New Roman" w:hAnsi="Times New Roman"/>
                <w:color w:val="000000"/>
                <w:szCs w:val="21"/>
              </w:rPr>
            </w:pPr>
          </w:p>
          <w:p w14:paraId="7F6C9F9B">
            <w:pPr>
              <w:topLinePunct/>
              <w:spacing w:line="300" w:lineRule="auto"/>
              <w:rPr>
                <w:rFonts w:ascii="Times New Roman" w:hAnsi="Times New Roman"/>
                <w:color w:val="000000"/>
                <w:szCs w:val="21"/>
              </w:rPr>
            </w:pPr>
          </w:p>
          <w:p w14:paraId="0534005D">
            <w:pPr>
              <w:topLinePunct/>
              <w:spacing w:line="300" w:lineRule="auto"/>
              <w:rPr>
                <w:rFonts w:ascii="Times New Roman" w:hAnsi="Times New Roman"/>
                <w:color w:val="000000"/>
                <w:szCs w:val="21"/>
              </w:rPr>
            </w:pPr>
          </w:p>
          <w:p w14:paraId="36FE976C">
            <w:pPr>
              <w:topLinePunct/>
              <w:spacing w:line="300" w:lineRule="auto"/>
              <w:rPr>
                <w:rFonts w:ascii="Times New Roman" w:hAnsi="Times New Roman"/>
                <w:color w:val="000000"/>
                <w:szCs w:val="21"/>
              </w:rPr>
            </w:pPr>
          </w:p>
        </w:tc>
      </w:tr>
      <w:tr w14:paraId="348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10D2D8C2">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03" w:type="dxa"/>
          </w:tcPr>
          <w:p w14:paraId="03D243E0">
            <w:pPr>
              <w:topLinePunct/>
              <w:spacing w:line="300" w:lineRule="auto"/>
              <w:rPr>
                <w:rFonts w:ascii="Times New Roman" w:hAnsi="Times New Roman"/>
                <w:color w:val="000000"/>
                <w:szCs w:val="21"/>
              </w:rPr>
            </w:pPr>
          </w:p>
        </w:tc>
      </w:tr>
    </w:tbl>
    <w:p w14:paraId="126B02D1">
      <w:pPr>
        <w:spacing w:line="300" w:lineRule="auto"/>
        <w:rPr>
          <w:rFonts w:ascii="Times New Roman" w:hAnsi="Times New Roman" w:eastAsia="黑体"/>
          <w:color w:val="000000"/>
          <w:sz w:val="23"/>
          <w:szCs w:val="23"/>
        </w:rPr>
      </w:pPr>
      <w:r>
        <w:rPr>
          <w:rFonts w:ascii="Times New Roman" w:hAnsi="Times New Roman" w:eastAsia="黑体"/>
          <w:color w:val="000000"/>
          <w:sz w:val="23"/>
          <w:szCs w:val="23"/>
        </w:rPr>
        <w:t>注：应附中标通知书或合同协议书或竣工报告。</w:t>
      </w:r>
    </w:p>
    <w:bookmarkEnd w:id="202"/>
    <w:bookmarkEnd w:id="203"/>
    <w:bookmarkEnd w:id="204"/>
    <w:bookmarkEnd w:id="205"/>
    <w:p w14:paraId="50D02DF0">
      <w:pPr>
        <w:topLinePunct/>
        <w:spacing w:line="300" w:lineRule="auto"/>
        <w:ind w:firstLine="400" w:firstLineChars="200"/>
        <w:jc w:val="left"/>
        <w:rPr>
          <w:rFonts w:hint="eastAsia" w:ascii="Times New Roman" w:hAnsi="Times New Roman" w:eastAsia="黑体"/>
          <w:color w:val="000000"/>
          <w:sz w:val="20"/>
        </w:rPr>
      </w:pPr>
    </w:p>
    <w:sectPr>
      <w:footerReference r:id="rId4" w:type="default"/>
      <w:pgSz w:w="11906" w:h="16838"/>
      <w:pgMar w:top="1304" w:right="1304" w:bottom="1304" w:left="130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C0075C-05F6-469D-9A7B-339ADB0A1B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AF22FF1-47FC-41E4-A213-C90DB034D68C}"/>
  </w:font>
  <w:font w:name="等线">
    <w:panose1 w:val="02010600030101010101"/>
    <w:charset w:val="86"/>
    <w:family w:val="auto"/>
    <w:pitch w:val="default"/>
    <w:sig w:usb0="A00002BF" w:usb1="38CF7CFA" w:usb2="00000016" w:usb3="00000000" w:csb0="0004000F" w:csb1="00000000"/>
    <w:embedRegular r:id="rId3" w:fontKey="{06EB32C9-6632-435C-A8B0-D9947DB6980B}"/>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309000000000000"/>
    <w:charset w:val="88"/>
    <w:family w:val="modern"/>
    <w:pitch w:val="default"/>
    <w:sig w:usb0="00000000" w:usb1="00000000" w:usb2="00000016" w:usb3="00000000" w:csb0="00100001" w:csb1="00000000"/>
    <w:embedRegular r:id="rId4" w:fontKey="{8D80CD4C-92EC-4920-9C82-B347D367DE3D}"/>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embedRegular r:id="rId5" w:fontKey="{225A3772-3D75-4BB2-8F3A-446745A38239}"/>
  </w:font>
  <w:font w:name="仿宋_GB2312">
    <w:panose1 w:val="02010609030101010101"/>
    <w:charset w:val="86"/>
    <w:family w:val="modern"/>
    <w:pitch w:val="default"/>
    <w:sig w:usb0="00000001" w:usb1="080E0000" w:usb2="00000000" w:usb3="00000000" w:csb0="00040000" w:csb1="00000000"/>
    <w:embedRegular r:id="rId6" w:fontKey="{0F060EF5-EF63-4A39-906E-D29696D19D86}"/>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PMingLiU">
    <w:altName w:val="PMingLiU-ExtB"/>
    <w:panose1 w:val="02020300000000000000"/>
    <w:charset w:val="88"/>
    <w:family w:val="roman"/>
    <w:pitch w:val="default"/>
    <w:sig w:usb0="00000000" w:usb1="00000000" w:usb2="00000016" w:usb3="00000000" w:csb0="00100001" w:csb1="00000000"/>
    <w:embedRegular r:id="rId7" w:fontKey="{A64F94B8-301D-4A1C-8A5A-E0AC752EACF9}"/>
  </w:font>
  <w:font w:name="楷体_GB2312">
    <w:panose1 w:val="02010609030101010101"/>
    <w:charset w:val="86"/>
    <w:family w:val="modern"/>
    <w:pitch w:val="default"/>
    <w:sig w:usb0="00000001" w:usb1="080E0000" w:usb2="00000000" w:usb3="00000000" w:csb0="00040000" w:csb1="00000000"/>
    <w:embedRegular r:id="rId8" w:fontKey="{F5364343-A853-4957-8103-7283F0C99710}"/>
  </w:font>
  <w:font w:name="Segoe UI">
    <w:panose1 w:val="020B0502040204020203"/>
    <w:charset w:val="00"/>
    <w:family w:val="swiss"/>
    <w:pitch w:val="default"/>
    <w:sig w:usb0="E4002EFF" w:usb1="C000E47F" w:usb2="00000009" w:usb3="00000000" w:csb0="200001FF" w:csb1="00000000"/>
    <w:embedRegular r:id="rId9" w:fontKey="{A65DEC2C-FBA4-4197-8149-233E6DE790C2}"/>
  </w:font>
  <w:font w:name="KSOF6B657194">
    <w:panose1 w:val="02020500000000000000"/>
    <w:charset w:val="88"/>
    <w:family w:val="auto"/>
    <w:pitch w:val="default"/>
    <w:sig w:usb0="00000001" w:usb1="00000000" w:usb2="00000000" w:usb3="00000000" w:csb0="00100001" w:csb1="00000000"/>
  </w:font>
  <w:font w:name="iconfon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A5E05">
    <w:pPr>
      <w:pStyle w:val="30"/>
      <w:jc w:val="center"/>
    </w:pPr>
    <w:r>
      <w:rPr>
        <w:rStyle w:val="51"/>
      </w:rPr>
      <w:fldChar w:fldCharType="begin"/>
    </w:r>
    <w:r>
      <w:rPr>
        <w:rStyle w:val="51"/>
      </w:rPr>
      <w:instrText xml:space="preserve"> PAGE </w:instrText>
    </w:r>
    <w:r>
      <w:rPr>
        <w:rStyle w:val="51"/>
      </w:rPr>
      <w:fldChar w:fldCharType="separate"/>
    </w:r>
    <w:r>
      <w:rPr>
        <w:rStyle w:val="51"/>
      </w:rPr>
      <w:t>39</w:t>
    </w:r>
    <w:r>
      <w:rPr>
        <w:rStyle w:val="5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52DAC">
    <w:pPr>
      <w:pStyle w:val="3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B2093E"/>
    <w:multiLevelType w:val="singleLevel"/>
    <w:tmpl w:val="ADB2093E"/>
    <w:lvl w:ilvl="0" w:tentative="0">
      <w:start w:val="7"/>
      <w:numFmt w:val="decimal"/>
      <w:suff w:val="nothing"/>
      <w:lvlText w:val="%1、"/>
      <w:lvlJc w:val="left"/>
    </w:lvl>
  </w:abstractNum>
  <w:abstractNum w:abstractNumId="1">
    <w:nsid w:val="00C55D67"/>
    <w:multiLevelType w:val="singleLevel"/>
    <w:tmpl w:val="00C55D67"/>
    <w:lvl w:ilvl="0" w:tentative="0">
      <w:start w:val="4"/>
      <w:numFmt w:val="chineseCounting"/>
      <w:suff w:val="space"/>
      <w:lvlText w:val="第%1章"/>
      <w:lvlJc w:val="left"/>
      <w:rPr>
        <w:rFonts w:hint="eastAsia"/>
      </w:rPr>
    </w:lvl>
  </w:abstractNum>
  <w:abstractNum w:abstractNumId="2">
    <w:nsid w:val="0D43CE40"/>
    <w:multiLevelType w:val="singleLevel"/>
    <w:tmpl w:val="0D43CE40"/>
    <w:lvl w:ilvl="0" w:tentative="0">
      <w:start w:val="3"/>
      <w:numFmt w:val="chineseCounting"/>
      <w:suff w:val="nothing"/>
      <w:lvlText w:val="（%1）"/>
      <w:lvlJc w:val="left"/>
      <w:rPr>
        <w:rFonts w:hint="eastAsia"/>
      </w:rPr>
    </w:lvl>
  </w:abstractNum>
  <w:abstractNum w:abstractNumId="3">
    <w:nsid w:val="19452CA5"/>
    <w:multiLevelType w:val="multilevel"/>
    <w:tmpl w:val="19452CA5"/>
    <w:lvl w:ilvl="0" w:tentative="0">
      <w:start w:val="3"/>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65520F5"/>
    <w:multiLevelType w:val="singleLevel"/>
    <w:tmpl w:val="265520F5"/>
    <w:lvl w:ilvl="0" w:tentative="0">
      <w:start w:val="3"/>
      <w:numFmt w:val="decimal"/>
      <w:suff w:val="nothing"/>
      <w:lvlText w:val="（%1）"/>
      <w:lvlJc w:val="left"/>
    </w:lvl>
  </w:abstractNum>
  <w:abstractNum w:abstractNumId="5">
    <w:nsid w:val="5420CC8C"/>
    <w:multiLevelType w:val="singleLevel"/>
    <w:tmpl w:val="5420CC8C"/>
    <w:lvl w:ilvl="0" w:tentative="0">
      <w:start w:val="2"/>
      <w:numFmt w:val="decimal"/>
      <w:suff w:val="space"/>
      <w:lvlText w:val="%1."/>
      <w:lvlJc w:val="left"/>
    </w:lvl>
  </w:abstractNum>
  <w:abstractNum w:abstractNumId="6">
    <w:nsid w:val="61154022"/>
    <w:multiLevelType w:val="multilevel"/>
    <w:tmpl w:val="61154022"/>
    <w:lvl w:ilvl="0" w:tentative="0">
      <w:start w:val="1"/>
      <w:numFmt w:val="japaneseCounting"/>
      <w:lvlText w:val="%1、"/>
      <w:lvlJc w:val="left"/>
      <w:pPr>
        <w:tabs>
          <w:tab w:val="left" w:pos="480"/>
        </w:tabs>
        <w:ind w:left="480" w:hanging="48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6E2D08F7"/>
    <w:multiLevelType w:val="multilevel"/>
    <w:tmpl w:val="6E2D08F7"/>
    <w:lvl w:ilvl="0" w:tentative="0">
      <w:start w:val="1"/>
      <w:numFmt w:val="decimal"/>
      <w:pStyle w:val="214"/>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190257D"/>
    <w:multiLevelType w:val="singleLevel"/>
    <w:tmpl w:val="7190257D"/>
    <w:lvl w:ilvl="0" w:tentative="0">
      <w:start w:val="1"/>
      <w:numFmt w:val="decimal"/>
      <w:suff w:val="nothing"/>
      <w:lvlText w:val="%1、"/>
      <w:lvlJc w:val="left"/>
    </w:lvl>
  </w:abstractNum>
  <w:num w:numId="1">
    <w:abstractNumId w:val="7"/>
  </w:num>
  <w:num w:numId="2">
    <w:abstractNumId w:val="8"/>
  </w:num>
  <w:num w:numId="3">
    <w:abstractNumId w:val="1"/>
  </w:num>
  <w:num w:numId="4">
    <w:abstractNumId w:val="0"/>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MjAyOTYwNGFhYzdkZmRlZDkwZjBjOTMzZjRjNjEifQ=="/>
  </w:docVars>
  <w:rsids>
    <w:rsidRoot w:val="00FD4C00"/>
    <w:rsid w:val="00001774"/>
    <w:rsid w:val="00005DB1"/>
    <w:rsid w:val="00016E8D"/>
    <w:rsid w:val="00021581"/>
    <w:rsid w:val="00023306"/>
    <w:rsid w:val="00026B2E"/>
    <w:rsid w:val="00027494"/>
    <w:rsid w:val="00034F4E"/>
    <w:rsid w:val="000361C9"/>
    <w:rsid w:val="0004003B"/>
    <w:rsid w:val="0004490C"/>
    <w:rsid w:val="00050C54"/>
    <w:rsid w:val="00063DB1"/>
    <w:rsid w:val="0006495A"/>
    <w:rsid w:val="00070BC8"/>
    <w:rsid w:val="000715C1"/>
    <w:rsid w:val="00071D06"/>
    <w:rsid w:val="000811B7"/>
    <w:rsid w:val="00083699"/>
    <w:rsid w:val="00092870"/>
    <w:rsid w:val="000A44FD"/>
    <w:rsid w:val="000B067B"/>
    <w:rsid w:val="000B4096"/>
    <w:rsid w:val="000B4F37"/>
    <w:rsid w:val="000B5474"/>
    <w:rsid w:val="000C1709"/>
    <w:rsid w:val="000D0E4E"/>
    <w:rsid w:val="000D57DF"/>
    <w:rsid w:val="000E0550"/>
    <w:rsid w:val="000E4EF8"/>
    <w:rsid w:val="000F042B"/>
    <w:rsid w:val="000F50DC"/>
    <w:rsid w:val="00112976"/>
    <w:rsid w:val="00122F00"/>
    <w:rsid w:val="00131A0B"/>
    <w:rsid w:val="00134922"/>
    <w:rsid w:val="001453A1"/>
    <w:rsid w:val="00147393"/>
    <w:rsid w:val="001822C2"/>
    <w:rsid w:val="00183282"/>
    <w:rsid w:val="00186273"/>
    <w:rsid w:val="00196729"/>
    <w:rsid w:val="001A4DD2"/>
    <w:rsid w:val="001A5925"/>
    <w:rsid w:val="001B070B"/>
    <w:rsid w:val="001B1625"/>
    <w:rsid w:val="001B35A5"/>
    <w:rsid w:val="001B7D48"/>
    <w:rsid w:val="001C34F9"/>
    <w:rsid w:val="001C3E25"/>
    <w:rsid w:val="001D7A14"/>
    <w:rsid w:val="001E269E"/>
    <w:rsid w:val="001E2D2D"/>
    <w:rsid w:val="001E64D3"/>
    <w:rsid w:val="001F72D0"/>
    <w:rsid w:val="0020756E"/>
    <w:rsid w:val="00211BAE"/>
    <w:rsid w:val="00213592"/>
    <w:rsid w:val="00220A1C"/>
    <w:rsid w:val="00221A79"/>
    <w:rsid w:val="002240EC"/>
    <w:rsid w:val="00231D19"/>
    <w:rsid w:val="002326BA"/>
    <w:rsid w:val="00232F65"/>
    <w:rsid w:val="00233D44"/>
    <w:rsid w:val="002465BD"/>
    <w:rsid w:val="0024724C"/>
    <w:rsid w:val="0024741C"/>
    <w:rsid w:val="00250D15"/>
    <w:rsid w:val="0026054A"/>
    <w:rsid w:val="00263738"/>
    <w:rsid w:val="002663FB"/>
    <w:rsid w:val="002806E6"/>
    <w:rsid w:val="00281B19"/>
    <w:rsid w:val="0029634C"/>
    <w:rsid w:val="002964F4"/>
    <w:rsid w:val="00297342"/>
    <w:rsid w:val="002A0E29"/>
    <w:rsid w:val="002A264F"/>
    <w:rsid w:val="002A2847"/>
    <w:rsid w:val="002A2C61"/>
    <w:rsid w:val="002B594D"/>
    <w:rsid w:val="002C1FE8"/>
    <w:rsid w:val="002C29F0"/>
    <w:rsid w:val="002D58C2"/>
    <w:rsid w:val="002D6C63"/>
    <w:rsid w:val="002D717B"/>
    <w:rsid w:val="002E023F"/>
    <w:rsid w:val="002E0C0C"/>
    <w:rsid w:val="002E12F0"/>
    <w:rsid w:val="002E2319"/>
    <w:rsid w:val="002E33A1"/>
    <w:rsid w:val="002E59D0"/>
    <w:rsid w:val="002E7B0A"/>
    <w:rsid w:val="00303140"/>
    <w:rsid w:val="00304FA0"/>
    <w:rsid w:val="00312225"/>
    <w:rsid w:val="00312A56"/>
    <w:rsid w:val="003217FE"/>
    <w:rsid w:val="00322833"/>
    <w:rsid w:val="00323559"/>
    <w:rsid w:val="00326129"/>
    <w:rsid w:val="003320BF"/>
    <w:rsid w:val="00336948"/>
    <w:rsid w:val="0034270E"/>
    <w:rsid w:val="003464E6"/>
    <w:rsid w:val="00356388"/>
    <w:rsid w:val="00364EFD"/>
    <w:rsid w:val="0037524E"/>
    <w:rsid w:val="003816D2"/>
    <w:rsid w:val="00385F88"/>
    <w:rsid w:val="00390660"/>
    <w:rsid w:val="00394E5E"/>
    <w:rsid w:val="003956A5"/>
    <w:rsid w:val="003B2FEE"/>
    <w:rsid w:val="003B7F18"/>
    <w:rsid w:val="003C1A92"/>
    <w:rsid w:val="003C3C6B"/>
    <w:rsid w:val="003C5483"/>
    <w:rsid w:val="003D2A2B"/>
    <w:rsid w:val="003D38CA"/>
    <w:rsid w:val="003E105D"/>
    <w:rsid w:val="003E7DE1"/>
    <w:rsid w:val="003F07DC"/>
    <w:rsid w:val="003F1B74"/>
    <w:rsid w:val="003F4483"/>
    <w:rsid w:val="003F7F7A"/>
    <w:rsid w:val="00400F68"/>
    <w:rsid w:val="004052EE"/>
    <w:rsid w:val="0042221A"/>
    <w:rsid w:val="0042460D"/>
    <w:rsid w:val="00432C94"/>
    <w:rsid w:val="0043496F"/>
    <w:rsid w:val="00437CD0"/>
    <w:rsid w:val="00440DD7"/>
    <w:rsid w:val="0044124C"/>
    <w:rsid w:val="004450CF"/>
    <w:rsid w:val="0044645A"/>
    <w:rsid w:val="0044680A"/>
    <w:rsid w:val="00455778"/>
    <w:rsid w:val="004558FE"/>
    <w:rsid w:val="00455D01"/>
    <w:rsid w:val="0046131B"/>
    <w:rsid w:val="0046196B"/>
    <w:rsid w:val="00470638"/>
    <w:rsid w:val="004731BB"/>
    <w:rsid w:val="004738DB"/>
    <w:rsid w:val="0047445B"/>
    <w:rsid w:val="00474936"/>
    <w:rsid w:val="004809CB"/>
    <w:rsid w:val="004842B6"/>
    <w:rsid w:val="00490433"/>
    <w:rsid w:val="00491FA1"/>
    <w:rsid w:val="004953FE"/>
    <w:rsid w:val="004960EE"/>
    <w:rsid w:val="004961B3"/>
    <w:rsid w:val="004B479B"/>
    <w:rsid w:val="004C0127"/>
    <w:rsid w:val="004C1A22"/>
    <w:rsid w:val="004C2129"/>
    <w:rsid w:val="004C31C8"/>
    <w:rsid w:val="004C33CF"/>
    <w:rsid w:val="004C39D0"/>
    <w:rsid w:val="004C3EB5"/>
    <w:rsid w:val="004C4984"/>
    <w:rsid w:val="004D24BD"/>
    <w:rsid w:val="004D24D8"/>
    <w:rsid w:val="004F5095"/>
    <w:rsid w:val="005019E7"/>
    <w:rsid w:val="00507DF9"/>
    <w:rsid w:val="00513EF5"/>
    <w:rsid w:val="0051664E"/>
    <w:rsid w:val="005237DB"/>
    <w:rsid w:val="005261FD"/>
    <w:rsid w:val="0053017B"/>
    <w:rsid w:val="005343B4"/>
    <w:rsid w:val="00534A08"/>
    <w:rsid w:val="00536613"/>
    <w:rsid w:val="0054236F"/>
    <w:rsid w:val="005427D2"/>
    <w:rsid w:val="00550FF5"/>
    <w:rsid w:val="00560013"/>
    <w:rsid w:val="005620FD"/>
    <w:rsid w:val="005647F4"/>
    <w:rsid w:val="0057477D"/>
    <w:rsid w:val="00580860"/>
    <w:rsid w:val="00580968"/>
    <w:rsid w:val="0058421A"/>
    <w:rsid w:val="00584725"/>
    <w:rsid w:val="005853C3"/>
    <w:rsid w:val="005860DC"/>
    <w:rsid w:val="005862E3"/>
    <w:rsid w:val="00592DB0"/>
    <w:rsid w:val="005962B9"/>
    <w:rsid w:val="00596A33"/>
    <w:rsid w:val="005A062E"/>
    <w:rsid w:val="005A2BD2"/>
    <w:rsid w:val="005A403D"/>
    <w:rsid w:val="005A5970"/>
    <w:rsid w:val="005B02A8"/>
    <w:rsid w:val="005B0EF0"/>
    <w:rsid w:val="005B1502"/>
    <w:rsid w:val="005B17CC"/>
    <w:rsid w:val="005B2667"/>
    <w:rsid w:val="005B4013"/>
    <w:rsid w:val="005B7ACE"/>
    <w:rsid w:val="005C1994"/>
    <w:rsid w:val="005C2620"/>
    <w:rsid w:val="005C3E61"/>
    <w:rsid w:val="005C51AB"/>
    <w:rsid w:val="005C5E52"/>
    <w:rsid w:val="005C7E66"/>
    <w:rsid w:val="005D0A05"/>
    <w:rsid w:val="005E3BE0"/>
    <w:rsid w:val="005E70EA"/>
    <w:rsid w:val="005E71D3"/>
    <w:rsid w:val="005F291A"/>
    <w:rsid w:val="00602294"/>
    <w:rsid w:val="00604353"/>
    <w:rsid w:val="00617FA2"/>
    <w:rsid w:val="006213A0"/>
    <w:rsid w:val="00643E8B"/>
    <w:rsid w:val="00650651"/>
    <w:rsid w:val="00653AFF"/>
    <w:rsid w:val="006602C0"/>
    <w:rsid w:val="006645BB"/>
    <w:rsid w:val="00666813"/>
    <w:rsid w:val="00674CFF"/>
    <w:rsid w:val="0068576D"/>
    <w:rsid w:val="00694C0A"/>
    <w:rsid w:val="006A12EF"/>
    <w:rsid w:val="006A58EB"/>
    <w:rsid w:val="006A7EDD"/>
    <w:rsid w:val="006C1CF5"/>
    <w:rsid w:val="006C44C1"/>
    <w:rsid w:val="006D12CE"/>
    <w:rsid w:val="006D3A99"/>
    <w:rsid w:val="006E16D2"/>
    <w:rsid w:val="006F10E3"/>
    <w:rsid w:val="006F1D30"/>
    <w:rsid w:val="00714C77"/>
    <w:rsid w:val="00716AD8"/>
    <w:rsid w:val="00720133"/>
    <w:rsid w:val="00720642"/>
    <w:rsid w:val="007214EA"/>
    <w:rsid w:val="00733DFB"/>
    <w:rsid w:val="00733EDC"/>
    <w:rsid w:val="0073659C"/>
    <w:rsid w:val="00750FDA"/>
    <w:rsid w:val="007671D7"/>
    <w:rsid w:val="00780936"/>
    <w:rsid w:val="00782CB7"/>
    <w:rsid w:val="00786C48"/>
    <w:rsid w:val="00790127"/>
    <w:rsid w:val="0079058E"/>
    <w:rsid w:val="0079290C"/>
    <w:rsid w:val="007A00F9"/>
    <w:rsid w:val="007A167E"/>
    <w:rsid w:val="007A57C2"/>
    <w:rsid w:val="007A6FAA"/>
    <w:rsid w:val="007A7DC1"/>
    <w:rsid w:val="007B0BD4"/>
    <w:rsid w:val="007B2F1B"/>
    <w:rsid w:val="007B7A7A"/>
    <w:rsid w:val="007C5F1B"/>
    <w:rsid w:val="007D133A"/>
    <w:rsid w:val="007D596D"/>
    <w:rsid w:val="007D6EDA"/>
    <w:rsid w:val="007E3F10"/>
    <w:rsid w:val="007E440B"/>
    <w:rsid w:val="007E45BE"/>
    <w:rsid w:val="007E7396"/>
    <w:rsid w:val="007F70B1"/>
    <w:rsid w:val="0080219A"/>
    <w:rsid w:val="00806007"/>
    <w:rsid w:val="008111D0"/>
    <w:rsid w:val="008114E2"/>
    <w:rsid w:val="00812D6F"/>
    <w:rsid w:val="008167CC"/>
    <w:rsid w:val="00827FC3"/>
    <w:rsid w:val="00831CEA"/>
    <w:rsid w:val="00853AF5"/>
    <w:rsid w:val="00863999"/>
    <w:rsid w:val="00866BAC"/>
    <w:rsid w:val="00871621"/>
    <w:rsid w:val="00875258"/>
    <w:rsid w:val="008778DC"/>
    <w:rsid w:val="0088350A"/>
    <w:rsid w:val="008865D8"/>
    <w:rsid w:val="008A2312"/>
    <w:rsid w:val="008C1F19"/>
    <w:rsid w:val="008C77B8"/>
    <w:rsid w:val="008D67CA"/>
    <w:rsid w:val="008D6EED"/>
    <w:rsid w:val="008E40E6"/>
    <w:rsid w:val="008E5F4C"/>
    <w:rsid w:val="008E7D68"/>
    <w:rsid w:val="008F6208"/>
    <w:rsid w:val="008F7759"/>
    <w:rsid w:val="00906D1C"/>
    <w:rsid w:val="00913B16"/>
    <w:rsid w:val="009157DD"/>
    <w:rsid w:val="0091674E"/>
    <w:rsid w:val="00920CC4"/>
    <w:rsid w:val="00923C75"/>
    <w:rsid w:val="009254C9"/>
    <w:rsid w:val="00930A33"/>
    <w:rsid w:val="00930CD1"/>
    <w:rsid w:val="00936542"/>
    <w:rsid w:val="0094361C"/>
    <w:rsid w:val="00944174"/>
    <w:rsid w:val="00951CB1"/>
    <w:rsid w:val="00952FD8"/>
    <w:rsid w:val="009535CC"/>
    <w:rsid w:val="009546DD"/>
    <w:rsid w:val="009621B2"/>
    <w:rsid w:val="00967C67"/>
    <w:rsid w:val="0097225D"/>
    <w:rsid w:val="00973AA2"/>
    <w:rsid w:val="0098173B"/>
    <w:rsid w:val="00982374"/>
    <w:rsid w:val="00986456"/>
    <w:rsid w:val="009929CC"/>
    <w:rsid w:val="00992E34"/>
    <w:rsid w:val="00996BD4"/>
    <w:rsid w:val="009A2A3A"/>
    <w:rsid w:val="009B641F"/>
    <w:rsid w:val="009C2DA8"/>
    <w:rsid w:val="009C426F"/>
    <w:rsid w:val="009C4441"/>
    <w:rsid w:val="009D10BF"/>
    <w:rsid w:val="009D29F6"/>
    <w:rsid w:val="009E17D6"/>
    <w:rsid w:val="009E1806"/>
    <w:rsid w:val="009E5431"/>
    <w:rsid w:val="009F3236"/>
    <w:rsid w:val="009F5B5E"/>
    <w:rsid w:val="009F6A7E"/>
    <w:rsid w:val="00A11AD5"/>
    <w:rsid w:val="00A12380"/>
    <w:rsid w:val="00A147CB"/>
    <w:rsid w:val="00A1724A"/>
    <w:rsid w:val="00A17F68"/>
    <w:rsid w:val="00A22ACA"/>
    <w:rsid w:val="00A3068A"/>
    <w:rsid w:val="00A32B30"/>
    <w:rsid w:val="00A36B9D"/>
    <w:rsid w:val="00A427CE"/>
    <w:rsid w:val="00A44851"/>
    <w:rsid w:val="00A4515F"/>
    <w:rsid w:val="00A504BF"/>
    <w:rsid w:val="00A50A49"/>
    <w:rsid w:val="00A54D1A"/>
    <w:rsid w:val="00A562C2"/>
    <w:rsid w:val="00A815AD"/>
    <w:rsid w:val="00A81C66"/>
    <w:rsid w:val="00A83A59"/>
    <w:rsid w:val="00A904F4"/>
    <w:rsid w:val="00A9085B"/>
    <w:rsid w:val="00A9088D"/>
    <w:rsid w:val="00A95FF5"/>
    <w:rsid w:val="00AB61E2"/>
    <w:rsid w:val="00AC2DA7"/>
    <w:rsid w:val="00AD09CC"/>
    <w:rsid w:val="00AD1114"/>
    <w:rsid w:val="00AD3BB8"/>
    <w:rsid w:val="00AD49A7"/>
    <w:rsid w:val="00AD7490"/>
    <w:rsid w:val="00AE147E"/>
    <w:rsid w:val="00AE2968"/>
    <w:rsid w:val="00AE2F96"/>
    <w:rsid w:val="00AE5718"/>
    <w:rsid w:val="00AE59D9"/>
    <w:rsid w:val="00AF218F"/>
    <w:rsid w:val="00AF4191"/>
    <w:rsid w:val="00AF6935"/>
    <w:rsid w:val="00B10675"/>
    <w:rsid w:val="00B10E6E"/>
    <w:rsid w:val="00B14375"/>
    <w:rsid w:val="00B25447"/>
    <w:rsid w:val="00B37878"/>
    <w:rsid w:val="00B4008C"/>
    <w:rsid w:val="00B402CF"/>
    <w:rsid w:val="00B44182"/>
    <w:rsid w:val="00B44E75"/>
    <w:rsid w:val="00B62306"/>
    <w:rsid w:val="00B63483"/>
    <w:rsid w:val="00B63750"/>
    <w:rsid w:val="00B70A30"/>
    <w:rsid w:val="00B719E7"/>
    <w:rsid w:val="00B7371C"/>
    <w:rsid w:val="00B769AB"/>
    <w:rsid w:val="00B87C0A"/>
    <w:rsid w:val="00BA2440"/>
    <w:rsid w:val="00BA64F4"/>
    <w:rsid w:val="00BB0BC4"/>
    <w:rsid w:val="00BB2491"/>
    <w:rsid w:val="00BB3B81"/>
    <w:rsid w:val="00BB6173"/>
    <w:rsid w:val="00BC05D0"/>
    <w:rsid w:val="00BC0FEA"/>
    <w:rsid w:val="00BC2DA4"/>
    <w:rsid w:val="00BD0118"/>
    <w:rsid w:val="00BD345B"/>
    <w:rsid w:val="00BD6BFA"/>
    <w:rsid w:val="00BD6F9F"/>
    <w:rsid w:val="00BE1925"/>
    <w:rsid w:val="00BE42A6"/>
    <w:rsid w:val="00BE4D4B"/>
    <w:rsid w:val="00BF3E8C"/>
    <w:rsid w:val="00BF6061"/>
    <w:rsid w:val="00BF69BE"/>
    <w:rsid w:val="00BF6E9C"/>
    <w:rsid w:val="00BF7C56"/>
    <w:rsid w:val="00C02859"/>
    <w:rsid w:val="00C03321"/>
    <w:rsid w:val="00C05689"/>
    <w:rsid w:val="00C105E0"/>
    <w:rsid w:val="00C12A00"/>
    <w:rsid w:val="00C16CB4"/>
    <w:rsid w:val="00C25D92"/>
    <w:rsid w:val="00C32328"/>
    <w:rsid w:val="00C35045"/>
    <w:rsid w:val="00C356E4"/>
    <w:rsid w:val="00C44270"/>
    <w:rsid w:val="00C464E7"/>
    <w:rsid w:val="00C5082C"/>
    <w:rsid w:val="00C55187"/>
    <w:rsid w:val="00C55942"/>
    <w:rsid w:val="00C63677"/>
    <w:rsid w:val="00C65924"/>
    <w:rsid w:val="00C71D1D"/>
    <w:rsid w:val="00C72708"/>
    <w:rsid w:val="00C747FE"/>
    <w:rsid w:val="00C936B9"/>
    <w:rsid w:val="00C9549A"/>
    <w:rsid w:val="00CA1C75"/>
    <w:rsid w:val="00CA5FDF"/>
    <w:rsid w:val="00CB2786"/>
    <w:rsid w:val="00CB5B07"/>
    <w:rsid w:val="00CC26A6"/>
    <w:rsid w:val="00CD4493"/>
    <w:rsid w:val="00CF0AD8"/>
    <w:rsid w:val="00CF47F5"/>
    <w:rsid w:val="00CF56E2"/>
    <w:rsid w:val="00CF5BE5"/>
    <w:rsid w:val="00D013C3"/>
    <w:rsid w:val="00D11487"/>
    <w:rsid w:val="00D12EC1"/>
    <w:rsid w:val="00D17428"/>
    <w:rsid w:val="00D22EB4"/>
    <w:rsid w:val="00D23946"/>
    <w:rsid w:val="00D24423"/>
    <w:rsid w:val="00D30849"/>
    <w:rsid w:val="00D35C6D"/>
    <w:rsid w:val="00D401C4"/>
    <w:rsid w:val="00D44BFF"/>
    <w:rsid w:val="00D450EE"/>
    <w:rsid w:val="00D450FB"/>
    <w:rsid w:val="00D714CF"/>
    <w:rsid w:val="00D7338E"/>
    <w:rsid w:val="00D74A8C"/>
    <w:rsid w:val="00D76394"/>
    <w:rsid w:val="00D770A1"/>
    <w:rsid w:val="00D869E9"/>
    <w:rsid w:val="00D9231A"/>
    <w:rsid w:val="00D92E13"/>
    <w:rsid w:val="00D92F67"/>
    <w:rsid w:val="00DA67F1"/>
    <w:rsid w:val="00DA6ECB"/>
    <w:rsid w:val="00DB4F03"/>
    <w:rsid w:val="00DB6603"/>
    <w:rsid w:val="00DC064B"/>
    <w:rsid w:val="00DC468C"/>
    <w:rsid w:val="00DD38D1"/>
    <w:rsid w:val="00DE3018"/>
    <w:rsid w:val="00E04AEC"/>
    <w:rsid w:val="00E07904"/>
    <w:rsid w:val="00E1493E"/>
    <w:rsid w:val="00E16478"/>
    <w:rsid w:val="00E25A66"/>
    <w:rsid w:val="00E406C4"/>
    <w:rsid w:val="00E434B5"/>
    <w:rsid w:val="00E50316"/>
    <w:rsid w:val="00E5056F"/>
    <w:rsid w:val="00E56870"/>
    <w:rsid w:val="00E6067E"/>
    <w:rsid w:val="00E649BA"/>
    <w:rsid w:val="00E656ED"/>
    <w:rsid w:val="00E65855"/>
    <w:rsid w:val="00E65DDB"/>
    <w:rsid w:val="00E66738"/>
    <w:rsid w:val="00E67154"/>
    <w:rsid w:val="00E758F1"/>
    <w:rsid w:val="00E82354"/>
    <w:rsid w:val="00E942FD"/>
    <w:rsid w:val="00E96DAF"/>
    <w:rsid w:val="00EA004D"/>
    <w:rsid w:val="00EA043E"/>
    <w:rsid w:val="00EA1E14"/>
    <w:rsid w:val="00EB4CFC"/>
    <w:rsid w:val="00EB5565"/>
    <w:rsid w:val="00EC22FD"/>
    <w:rsid w:val="00EC530B"/>
    <w:rsid w:val="00EC6C0C"/>
    <w:rsid w:val="00EC6D7B"/>
    <w:rsid w:val="00ED6A9A"/>
    <w:rsid w:val="00EE2F14"/>
    <w:rsid w:val="00EE54B9"/>
    <w:rsid w:val="00EE70EF"/>
    <w:rsid w:val="00EF38FC"/>
    <w:rsid w:val="00F03361"/>
    <w:rsid w:val="00F2007F"/>
    <w:rsid w:val="00F21B14"/>
    <w:rsid w:val="00F25816"/>
    <w:rsid w:val="00F32DFD"/>
    <w:rsid w:val="00F355D7"/>
    <w:rsid w:val="00F3728A"/>
    <w:rsid w:val="00F43B67"/>
    <w:rsid w:val="00F44A78"/>
    <w:rsid w:val="00F46999"/>
    <w:rsid w:val="00F55636"/>
    <w:rsid w:val="00F56346"/>
    <w:rsid w:val="00F57BBD"/>
    <w:rsid w:val="00F6211D"/>
    <w:rsid w:val="00F649DE"/>
    <w:rsid w:val="00F66A5A"/>
    <w:rsid w:val="00F6787F"/>
    <w:rsid w:val="00F71C7C"/>
    <w:rsid w:val="00F72792"/>
    <w:rsid w:val="00F765E4"/>
    <w:rsid w:val="00F837E3"/>
    <w:rsid w:val="00F8416B"/>
    <w:rsid w:val="00F913E3"/>
    <w:rsid w:val="00F91834"/>
    <w:rsid w:val="00F95CE4"/>
    <w:rsid w:val="00FA5E76"/>
    <w:rsid w:val="00FB3B5D"/>
    <w:rsid w:val="00FB6CE8"/>
    <w:rsid w:val="00FC3F34"/>
    <w:rsid w:val="00FC4707"/>
    <w:rsid w:val="00FD4C00"/>
    <w:rsid w:val="00FD7275"/>
    <w:rsid w:val="00FE56EC"/>
    <w:rsid w:val="00FF1429"/>
    <w:rsid w:val="00FF3EDE"/>
    <w:rsid w:val="00FF4F99"/>
    <w:rsid w:val="01120C8A"/>
    <w:rsid w:val="01466943"/>
    <w:rsid w:val="016C2D4F"/>
    <w:rsid w:val="01765667"/>
    <w:rsid w:val="01831B92"/>
    <w:rsid w:val="018856AF"/>
    <w:rsid w:val="01897740"/>
    <w:rsid w:val="01C42B8B"/>
    <w:rsid w:val="02190282"/>
    <w:rsid w:val="02BA6BA7"/>
    <w:rsid w:val="02E37041"/>
    <w:rsid w:val="04BC223F"/>
    <w:rsid w:val="04CC48E4"/>
    <w:rsid w:val="05391885"/>
    <w:rsid w:val="05671B53"/>
    <w:rsid w:val="05D62546"/>
    <w:rsid w:val="05F46866"/>
    <w:rsid w:val="06255277"/>
    <w:rsid w:val="06491003"/>
    <w:rsid w:val="06597D86"/>
    <w:rsid w:val="07017693"/>
    <w:rsid w:val="07124399"/>
    <w:rsid w:val="07A613DA"/>
    <w:rsid w:val="081245C2"/>
    <w:rsid w:val="081303C8"/>
    <w:rsid w:val="08331CDD"/>
    <w:rsid w:val="08621549"/>
    <w:rsid w:val="08954ADB"/>
    <w:rsid w:val="08C6543B"/>
    <w:rsid w:val="08C8378A"/>
    <w:rsid w:val="08DC5452"/>
    <w:rsid w:val="0938548C"/>
    <w:rsid w:val="09475E50"/>
    <w:rsid w:val="099F667B"/>
    <w:rsid w:val="09C70897"/>
    <w:rsid w:val="0AB83FBE"/>
    <w:rsid w:val="0B416FFB"/>
    <w:rsid w:val="0B9178BD"/>
    <w:rsid w:val="0BA23ED3"/>
    <w:rsid w:val="0BB03192"/>
    <w:rsid w:val="0BFC73C5"/>
    <w:rsid w:val="0C151FA6"/>
    <w:rsid w:val="0C1F617B"/>
    <w:rsid w:val="0C6C71E5"/>
    <w:rsid w:val="0C7E427E"/>
    <w:rsid w:val="0D6E42F3"/>
    <w:rsid w:val="0DB71EA2"/>
    <w:rsid w:val="0DD00DED"/>
    <w:rsid w:val="0E3015A8"/>
    <w:rsid w:val="0E5E052D"/>
    <w:rsid w:val="0E653000"/>
    <w:rsid w:val="0F3C3A76"/>
    <w:rsid w:val="0F7B4C2A"/>
    <w:rsid w:val="0F825E34"/>
    <w:rsid w:val="0FD97EF9"/>
    <w:rsid w:val="0FFF56D6"/>
    <w:rsid w:val="10507F2E"/>
    <w:rsid w:val="10D06470"/>
    <w:rsid w:val="10E322BE"/>
    <w:rsid w:val="11391D10"/>
    <w:rsid w:val="11643A43"/>
    <w:rsid w:val="11C6025A"/>
    <w:rsid w:val="11F0177A"/>
    <w:rsid w:val="12617F82"/>
    <w:rsid w:val="126E5842"/>
    <w:rsid w:val="12D40754"/>
    <w:rsid w:val="13297D6B"/>
    <w:rsid w:val="132C233E"/>
    <w:rsid w:val="133D454B"/>
    <w:rsid w:val="136A6690"/>
    <w:rsid w:val="138403CC"/>
    <w:rsid w:val="138812D4"/>
    <w:rsid w:val="13B07AEE"/>
    <w:rsid w:val="13E56991"/>
    <w:rsid w:val="140825FF"/>
    <w:rsid w:val="1437543F"/>
    <w:rsid w:val="14444F4D"/>
    <w:rsid w:val="14DB02BB"/>
    <w:rsid w:val="15265225"/>
    <w:rsid w:val="15325C06"/>
    <w:rsid w:val="15C918AE"/>
    <w:rsid w:val="15D31197"/>
    <w:rsid w:val="15EB4733"/>
    <w:rsid w:val="15FA6156"/>
    <w:rsid w:val="163B1340"/>
    <w:rsid w:val="163F682C"/>
    <w:rsid w:val="16EB25F4"/>
    <w:rsid w:val="1752433D"/>
    <w:rsid w:val="175D425E"/>
    <w:rsid w:val="1769414C"/>
    <w:rsid w:val="17944956"/>
    <w:rsid w:val="179A68FE"/>
    <w:rsid w:val="182C1032"/>
    <w:rsid w:val="18550589"/>
    <w:rsid w:val="18C960DF"/>
    <w:rsid w:val="18FF7711"/>
    <w:rsid w:val="19186771"/>
    <w:rsid w:val="19524AC9"/>
    <w:rsid w:val="198F3627"/>
    <w:rsid w:val="19BB266E"/>
    <w:rsid w:val="19C14EFC"/>
    <w:rsid w:val="1A0933D9"/>
    <w:rsid w:val="1A0A53A3"/>
    <w:rsid w:val="1A544D17"/>
    <w:rsid w:val="1A5F061A"/>
    <w:rsid w:val="1A662B95"/>
    <w:rsid w:val="1A9C424D"/>
    <w:rsid w:val="1AB45CE4"/>
    <w:rsid w:val="1AEC1260"/>
    <w:rsid w:val="1B063DBD"/>
    <w:rsid w:val="1B9C2C97"/>
    <w:rsid w:val="1B9D1289"/>
    <w:rsid w:val="1BA96B06"/>
    <w:rsid w:val="1BBF530A"/>
    <w:rsid w:val="1BDE0896"/>
    <w:rsid w:val="1C346708"/>
    <w:rsid w:val="1C9B56FA"/>
    <w:rsid w:val="1CD00F29"/>
    <w:rsid w:val="1D580A0A"/>
    <w:rsid w:val="1E576922"/>
    <w:rsid w:val="1E5B10DB"/>
    <w:rsid w:val="1E6E199F"/>
    <w:rsid w:val="1E782B82"/>
    <w:rsid w:val="1EAC6A29"/>
    <w:rsid w:val="1EBD0C36"/>
    <w:rsid w:val="1ED55F80"/>
    <w:rsid w:val="1F06438B"/>
    <w:rsid w:val="1F2411E5"/>
    <w:rsid w:val="1F300115"/>
    <w:rsid w:val="1F4B6242"/>
    <w:rsid w:val="202F7912"/>
    <w:rsid w:val="204B1DE7"/>
    <w:rsid w:val="20AC0F62"/>
    <w:rsid w:val="20AF3CA4"/>
    <w:rsid w:val="20C4005A"/>
    <w:rsid w:val="21321A16"/>
    <w:rsid w:val="21D50B23"/>
    <w:rsid w:val="21E7264A"/>
    <w:rsid w:val="220C0D2D"/>
    <w:rsid w:val="223E208E"/>
    <w:rsid w:val="22E42C35"/>
    <w:rsid w:val="23164DB9"/>
    <w:rsid w:val="2322375E"/>
    <w:rsid w:val="234F41BB"/>
    <w:rsid w:val="236E69A3"/>
    <w:rsid w:val="23EE50C5"/>
    <w:rsid w:val="2406098A"/>
    <w:rsid w:val="241E19E3"/>
    <w:rsid w:val="2435126F"/>
    <w:rsid w:val="24726BE4"/>
    <w:rsid w:val="24A52E09"/>
    <w:rsid w:val="25105AE0"/>
    <w:rsid w:val="252B712A"/>
    <w:rsid w:val="254C43E9"/>
    <w:rsid w:val="256F1181"/>
    <w:rsid w:val="2578418B"/>
    <w:rsid w:val="25996466"/>
    <w:rsid w:val="25B01924"/>
    <w:rsid w:val="25CE54D7"/>
    <w:rsid w:val="25DE1BBE"/>
    <w:rsid w:val="25F667B4"/>
    <w:rsid w:val="262D044F"/>
    <w:rsid w:val="26A03DE1"/>
    <w:rsid w:val="26F40F6D"/>
    <w:rsid w:val="27966EB8"/>
    <w:rsid w:val="27BF157B"/>
    <w:rsid w:val="27FC27CF"/>
    <w:rsid w:val="28485A15"/>
    <w:rsid w:val="28500425"/>
    <w:rsid w:val="285F1E07"/>
    <w:rsid w:val="28616AD6"/>
    <w:rsid w:val="28B74948"/>
    <w:rsid w:val="28B9421C"/>
    <w:rsid w:val="28E7476D"/>
    <w:rsid w:val="28FC05AD"/>
    <w:rsid w:val="29323FCF"/>
    <w:rsid w:val="29553402"/>
    <w:rsid w:val="2A08750E"/>
    <w:rsid w:val="2A6D39C5"/>
    <w:rsid w:val="2A877B3A"/>
    <w:rsid w:val="2AC86999"/>
    <w:rsid w:val="2B586322"/>
    <w:rsid w:val="2BB60EE7"/>
    <w:rsid w:val="2BEE4691"/>
    <w:rsid w:val="2C30594F"/>
    <w:rsid w:val="2CAE78BA"/>
    <w:rsid w:val="2CB5119F"/>
    <w:rsid w:val="2CD80BF1"/>
    <w:rsid w:val="2CDD77DB"/>
    <w:rsid w:val="2CE101E6"/>
    <w:rsid w:val="2CFC6DCE"/>
    <w:rsid w:val="2D404B45"/>
    <w:rsid w:val="2D6C548A"/>
    <w:rsid w:val="2DEA45D3"/>
    <w:rsid w:val="2E141173"/>
    <w:rsid w:val="2E5A3CCA"/>
    <w:rsid w:val="2FCC0CD9"/>
    <w:rsid w:val="2FDB47B9"/>
    <w:rsid w:val="2FDD2EE6"/>
    <w:rsid w:val="301B3A0F"/>
    <w:rsid w:val="301D6C25"/>
    <w:rsid w:val="30321540"/>
    <w:rsid w:val="307373A7"/>
    <w:rsid w:val="30772F4F"/>
    <w:rsid w:val="30A9101A"/>
    <w:rsid w:val="3108687A"/>
    <w:rsid w:val="325925CC"/>
    <w:rsid w:val="33392DAC"/>
    <w:rsid w:val="336472E3"/>
    <w:rsid w:val="342D6918"/>
    <w:rsid w:val="344572AC"/>
    <w:rsid w:val="34906660"/>
    <w:rsid w:val="34C603ED"/>
    <w:rsid w:val="34EF5A31"/>
    <w:rsid w:val="354718E3"/>
    <w:rsid w:val="35492DCC"/>
    <w:rsid w:val="357C245B"/>
    <w:rsid w:val="35ED3757"/>
    <w:rsid w:val="35F725A7"/>
    <w:rsid w:val="360F1018"/>
    <w:rsid w:val="3638291B"/>
    <w:rsid w:val="364531FF"/>
    <w:rsid w:val="36DA0521"/>
    <w:rsid w:val="373830F8"/>
    <w:rsid w:val="37E42938"/>
    <w:rsid w:val="37F72E86"/>
    <w:rsid w:val="385015D5"/>
    <w:rsid w:val="38726196"/>
    <w:rsid w:val="389857B1"/>
    <w:rsid w:val="38B844F1"/>
    <w:rsid w:val="38D74CA2"/>
    <w:rsid w:val="38FC65EE"/>
    <w:rsid w:val="39023410"/>
    <w:rsid w:val="394A4C3B"/>
    <w:rsid w:val="398651B0"/>
    <w:rsid w:val="39C11211"/>
    <w:rsid w:val="39E5336C"/>
    <w:rsid w:val="3A07761D"/>
    <w:rsid w:val="3A816B64"/>
    <w:rsid w:val="3A925DB8"/>
    <w:rsid w:val="3ABD38E4"/>
    <w:rsid w:val="3AC84793"/>
    <w:rsid w:val="3B253993"/>
    <w:rsid w:val="3B276161"/>
    <w:rsid w:val="3B2F670A"/>
    <w:rsid w:val="3B457B92"/>
    <w:rsid w:val="3B762F16"/>
    <w:rsid w:val="3BDD426E"/>
    <w:rsid w:val="3BE9676F"/>
    <w:rsid w:val="3C67757D"/>
    <w:rsid w:val="3C7F24F5"/>
    <w:rsid w:val="3D097605"/>
    <w:rsid w:val="3D1F72F5"/>
    <w:rsid w:val="3D270F6A"/>
    <w:rsid w:val="3D8D2DAE"/>
    <w:rsid w:val="3D960B78"/>
    <w:rsid w:val="3D9A3609"/>
    <w:rsid w:val="3DC53544"/>
    <w:rsid w:val="3DC92CFC"/>
    <w:rsid w:val="3E0536E1"/>
    <w:rsid w:val="3E285C74"/>
    <w:rsid w:val="3EA80B63"/>
    <w:rsid w:val="3ECF25BD"/>
    <w:rsid w:val="3F113F61"/>
    <w:rsid w:val="3F2226C4"/>
    <w:rsid w:val="3F81756D"/>
    <w:rsid w:val="3FB163EA"/>
    <w:rsid w:val="3FBA6DA0"/>
    <w:rsid w:val="403A66FB"/>
    <w:rsid w:val="40436D96"/>
    <w:rsid w:val="404448BC"/>
    <w:rsid w:val="404A6B93"/>
    <w:rsid w:val="40DF63BE"/>
    <w:rsid w:val="40F956A6"/>
    <w:rsid w:val="41315657"/>
    <w:rsid w:val="413761CE"/>
    <w:rsid w:val="417E5EAF"/>
    <w:rsid w:val="419034FD"/>
    <w:rsid w:val="419C4BC8"/>
    <w:rsid w:val="41C07DA5"/>
    <w:rsid w:val="41C70639"/>
    <w:rsid w:val="41D41C6F"/>
    <w:rsid w:val="41F540C0"/>
    <w:rsid w:val="42072045"/>
    <w:rsid w:val="42731488"/>
    <w:rsid w:val="42975177"/>
    <w:rsid w:val="43101C31"/>
    <w:rsid w:val="431762B8"/>
    <w:rsid w:val="438576C5"/>
    <w:rsid w:val="43B50D07"/>
    <w:rsid w:val="43BC2914"/>
    <w:rsid w:val="43EA7528"/>
    <w:rsid w:val="44232143"/>
    <w:rsid w:val="442425A9"/>
    <w:rsid w:val="44470C65"/>
    <w:rsid w:val="44531571"/>
    <w:rsid w:val="44722BFE"/>
    <w:rsid w:val="44D17E59"/>
    <w:rsid w:val="44E861CC"/>
    <w:rsid w:val="4517259F"/>
    <w:rsid w:val="452847AC"/>
    <w:rsid w:val="454C1F61"/>
    <w:rsid w:val="455868CB"/>
    <w:rsid w:val="457D55D6"/>
    <w:rsid w:val="45AF0A29"/>
    <w:rsid w:val="45E84FDC"/>
    <w:rsid w:val="45FC27C5"/>
    <w:rsid w:val="461B5928"/>
    <w:rsid w:val="46357180"/>
    <w:rsid w:val="469331D0"/>
    <w:rsid w:val="46A77952"/>
    <w:rsid w:val="46BD0891"/>
    <w:rsid w:val="47376F28"/>
    <w:rsid w:val="47857C94"/>
    <w:rsid w:val="478A34FC"/>
    <w:rsid w:val="47BA61DE"/>
    <w:rsid w:val="47DF4628"/>
    <w:rsid w:val="483920AE"/>
    <w:rsid w:val="486E30D8"/>
    <w:rsid w:val="48FC21D7"/>
    <w:rsid w:val="496D09DF"/>
    <w:rsid w:val="4A304379"/>
    <w:rsid w:val="4A8E50B1"/>
    <w:rsid w:val="4AC46F59"/>
    <w:rsid w:val="4B6E4EE3"/>
    <w:rsid w:val="4B840D2C"/>
    <w:rsid w:val="4B950116"/>
    <w:rsid w:val="4C0575F5"/>
    <w:rsid w:val="4C0D0258"/>
    <w:rsid w:val="4C575977"/>
    <w:rsid w:val="4C722173"/>
    <w:rsid w:val="4CBA3E0F"/>
    <w:rsid w:val="4CC72AFC"/>
    <w:rsid w:val="4D740ED1"/>
    <w:rsid w:val="4E294A90"/>
    <w:rsid w:val="4E4837C9"/>
    <w:rsid w:val="4EF461B2"/>
    <w:rsid w:val="4EF6144F"/>
    <w:rsid w:val="4F2953A8"/>
    <w:rsid w:val="4F5A37B4"/>
    <w:rsid w:val="4F602D94"/>
    <w:rsid w:val="4FCE738F"/>
    <w:rsid w:val="4FF414B0"/>
    <w:rsid w:val="513946D4"/>
    <w:rsid w:val="51B7356F"/>
    <w:rsid w:val="51CD2963"/>
    <w:rsid w:val="51D35A9F"/>
    <w:rsid w:val="52754DA9"/>
    <w:rsid w:val="52902210"/>
    <w:rsid w:val="533B38FC"/>
    <w:rsid w:val="5393627D"/>
    <w:rsid w:val="54C034C2"/>
    <w:rsid w:val="54CD2BC9"/>
    <w:rsid w:val="55440EC8"/>
    <w:rsid w:val="55985DAE"/>
    <w:rsid w:val="55994149"/>
    <w:rsid w:val="55DA15BC"/>
    <w:rsid w:val="563F1955"/>
    <w:rsid w:val="566769B4"/>
    <w:rsid w:val="56AD2D63"/>
    <w:rsid w:val="5846521D"/>
    <w:rsid w:val="58737694"/>
    <w:rsid w:val="58A07A42"/>
    <w:rsid w:val="58FA7DB6"/>
    <w:rsid w:val="592D018B"/>
    <w:rsid w:val="593A4370"/>
    <w:rsid w:val="59653B5D"/>
    <w:rsid w:val="59A25AE9"/>
    <w:rsid w:val="59BE2427"/>
    <w:rsid w:val="59C44CCC"/>
    <w:rsid w:val="5A2672AD"/>
    <w:rsid w:val="5A2D133F"/>
    <w:rsid w:val="5A3B0686"/>
    <w:rsid w:val="5A6B26EF"/>
    <w:rsid w:val="5A880389"/>
    <w:rsid w:val="5A92156C"/>
    <w:rsid w:val="5AF87E32"/>
    <w:rsid w:val="5B2335F4"/>
    <w:rsid w:val="5B296347"/>
    <w:rsid w:val="5BC9798D"/>
    <w:rsid w:val="5C0928D5"/>
    <w:rsid w:val="5C48174A"/>
    <w:rsid w:val="5C5652BA"/>
    <w:rsid w:val="5CB00EB7"/>
    <w:rsid w:val="5CC3713E"/>
    <w:rsid w:val="5CFF3BED"/>
    <w:rsid w:val="5D0B2591"/>
    <w:rsid w:val="5D12743D"/>
    <w:rsid w:val="5D41058B"/>
    <w:rsid w:val="5D562B7A"/>
    <w:rsid w:val="5D577DB9"/>
    <w:rsid w:val="5D69550A"/>
    <w:rsid w:val="5D753EAF"/>
    <w:rsid w:val="5D79399F"/>
    <w:rsid w:val="5D8D744A"/>
    <w:rsid w:val="5E234750"/>
    <w:rsid w:val="5E465E57"/>
    <w:rsid w:val="5E736BE5"/>
    <w:rsid w:val="5EE157C6"/>
    <w:rsid w:val="5EF60E26"/>
    <w:rsid w:val="5F1C355C"/>
    <w:rsid w:val="5F7F1015"/>
    <w:rsid w:val="5FA17AD8"/>
    <w:rsid w:val="60086528"/>
    <w:rsid w:val="60A71FE8"/>
    <w:rsid w:val="60B427A3"/>
    <w:rsid w:val="60D323CF"/>
    <w:rsid w:val="611063C8"/>
    <w:rsid w:val="613642DA"/>
    <w:rsid w:val="6138591F"/>
    <w:rsid w:val="61665FE8"/>
    <w:rsid w:val="61C575C7"/>
    <w:rsid w:val="62503E8F"/>
    <w:rsid w:val="627D7A8D"/>
    <w:rsid w:val="62DB5DEF"/>
    <w:rsid w:val="63012280"/>
    <w:rsid w:val="631766C6"/>
    <w:rsid w:val="64012589"/>
    <w:rsid w:val="64287B33"/>
    <w:rsid w:val="64C06B7F"/>
    <w:rsid w:val="64C11918"/>
    <w:rsid w:val="64EA5182"/>
    <w:rsid w:val="65817895"/>
    <w:rsid w:val="66B27F22"/>
    <w:rsid w:val="66CA7019"/>
    <w:rsid w:val="66F83B86"/>
    <w:rsid w:val="672162B5"/>
    <w:rsid w:val="672B53BA"/>
    <w:rsid w:val="67C21F06"/>
    <w:rsid w:val="67CC7A8F"/>
    <w:rsid w:val="67DA1212"/>
    <w:rsid w:val="68966641"/>
    <w:rsid w:val="68CD2DF1"/>
    <w:rsid w:val="6923512F"/>
    <w:rsid w:val="69361809"/>
    <w:rsid w:val="69585221"/>
    <w:rsid w:val="69621C06"/>
    <w:rsid w:val="69F04FE9"/>
    <w:rsid w:val="69F13ACF"/>
    <w:rsid w:val="6A547AA2"/>
    <w:rsid w:val="6A8756AC"/>
    <w:rsid w:val="6AAB53B4"/>
    <w:rsid w:val="6B065E2B"/>
    <w:rsid w:val="6B225676"/>
    <w:rsid w:val="6C163EFA"/>
    <w:rsid w:val="6C46463B"/>
    <w:rsid w:val="6CAC0260"/>
    <w:rsid w:val="6CDE3A47"/>
    <w:rsid w:val="6CE76F7A"/>
    <w:rsid w:val="6DAC32CB"/>
    <w:rsid w:val="6DAE6EFB"/>
    <w:rsid w:val="6DCF2284"/>
    <w:rsid w:val="6DE74955"/>
    <w:rsid w:val="6E04197D"/>
    <w:rsid w:val="6E1A0886"/>
    <w:rsid w:val="6E265DDC"/>
    <w:rsid w:val="6E3A4A84"/>
    <w:rsid w:val="6EA41B56"/>
    <w:rsid w:val="6F0856E2"/>
    <w:rsid w:val="6F511206"/>
    <w:rsid w:val="702647A0"/>
    <w:rsid w:val="70761FC0"/>
    <w:rsid w:val="7088492D"/>
    <w:rsid w:val="70B86135"/>
    <w:rsid w:val="70C26FB3"/>
    <w:rsid w:val="71557E27"/>
    <w:rsid w:val="715B71FA"/>
    <w:rsid w:val="71CE6ABC"/>
    <w:rsid w:val="72192C03"/>
    <w:rsid w:val="72D603E0"/>
    <w:rsid w:val="73337CF4"/>
    <w:rsid w:val="7342070F"/>
    <w:rsid w:val="737F73DD"/>
    <w:rsid w:val="738F5872"/>
    <w:rsid w:val="74213FF1"/>
    <w:rsid w:val="742A49E5"/>
    <w:rsid w:val="7439684A"/>
    <w:rsid w:val="743F596C"/>
    <w:rsid w:val="74A569D0"/>
    <w:rsid w:val="74C96C73"/>
    <w:rsid w:val="74D41BC4"/>
    <w:rsid w:val="754400C7"/>
    <w:rsid w:val="75481FE1"/>
    <w:rsid w:val="75BD51EA"/>
    <w:rsid w:val="75E907D9"/>
    <w:rsid w:val="761958C7"/>
    <w:rsid w:val="764C17F9"/>
    <w:rsid w:val="76A76E56"/>
    <w:rsid w:val="76E86BD5"/>
    <w:rsid w:val="77460CC4"/>
    <w:rsid w:val="78654DF4"/>
    <w:rsid w:val="78656BA2"/>
    <w:rsid w:val="787B63C5"/>
    <w:rsid w:val="78AF42C1"/>
    <w:rsid w:val="78BC611E"/>
    <w:rsid w:val="78E8653C"/>
    <w:rsid w:val="792627D5"/>
    <w:rsid w:val="7964174D"/>
    <w:rsid w:val="796B643A"/>
    <w:rsid w:val="797D43BF"/>
    <w:rsid w:val="79C43614"/>
    <w:rsid w:val="79F44681"/>
    <w:rsid w:val="7A0360ED"/>
    <w:rsid w:val="7A3525A4"/>
    <w:rsid w:val="7A552C46"/>
    <w:rsid w:val="7AF406B1"/>
    <w:rsid w:val="7B7E41C0"/>
    <w:rsid w:val="7B98103C"/>
    <w:rsid w:val="7B9A3C29"/>
    <w:rsid w:val="7BF76E02"/>
    <w:rsid w:val="7C252BAD"/>
    <w:rsid w:val="7C330140"/>
    <w:rsid w:val="7C4557F9"/>
    <w:rsid w:val="7C7E0232"/>
    <w:rsid w:val="7CB352BD"/>
    <w:rsid w:val="7CD1514C"/>
    <w:rsid w:val="7CFB646D"/>
    <w:rsid w:val="7D052701"/>
    <w:rsid w:val="7D5C6753"/>
    <w:rsid w:val="7D6170E3"/>
    <w:rsid w:val="7D625DA6"/>
    <w:rsid w:val="7D755AD9"/>
    <w:rsid w:val="7DDF11A4"/>
    <w:rsid w:val="7E2B43EA"/>
    <w:rsid w:val="7E953F59"/>
    <w:rsid w:val="7EF24F07"/>
    <w:rsid w:val="7F1B09EA"/>
    <w:rsid w:val="7F2C06E6"/>
    <w:rsid w:val="7F832D67"/>
    <w:rsid w:val="7F917DE3"/>
    <w:rsid w:val="7F9D30C5"/>
    <w:rsid w:val="7FD37AE9"/>
    <w:rsid w:val="7FEA49BA"/>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qFormat="1"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3"/>
    <w:qFormat/>
    <w:uiPriority w:val="0"/>
    <w:pPr>
      <w:keepNext/>
      <w:keepLines/>
      <w:widowControl/>
      <w:spacing w:before="340" w:after="330" w:line="576" w:lineRule="auto"/>
      <w:jc w:val="left"/>
      <w:outlineLvl w:val="0"/>
    </w:pPr>
    <w:rPr>
      <w:rFonts w:ascii="Times New Roman" w:hAnsi="Times New Roman" w:eastAsia="宋体"/>
      <w:b/>
      <w:bCs/>
      <w:kern w:val="44"/>
      <w:sz w:val="44"/>
      <w:szCs w:val="44"/>
    </w:rPr>
  </w:style>
  <w:style w:type="paragraph" w:styleId="3">
    <w:name w:val="heading 2"/>
    <w:basedOn w:val="1"/>
    <w:next w:val="1"/>
    <w:link w:val="144"/>
    <w:qFormat/>
    <w:uiPriority w:val="0"/>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link w:val="160"/>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5">
    <w:name w:val="heading 4"/>
    <w:basedOn w:val="1"/>
    <w:next w:val="1"/>
    <w:link w:val="92"/>
    <w:qFormat/>
    <w:uiPriority w:val="0"/>
    <w:pPr>
      <w:keepNext/>
      <w:keepLines/>
      <w:widowControl/>
      <w:spacing w:before="280" w:after="290" w:line="376" w:lineRule="auto"/>
      <w:jc w:val="left"/>
      <w:outlineLvl w:val="3"/>
    </w:pPr>
    <w:rPr>
      <w:rFonts w:ascii="等线 Light" w:hAnsi="等线 Light" w:eastAsia="等线 Light"/>
      <w:b/>
      <w:bCs/>
      <w:kern w:val="0"/>
      <w:sz w:val="28"/>
      <w:szCs w:val="28"/>
    </w:rPr>
  </w:style>
  <w:style w:type="paragraph" w:styleId="6">
    <w:name w:val="heading 5"/>
    <w:basedOn w:val="1"/>
    <w:next w:val="1"/>
    <w:link w:val="216"/>
    <w:qFormat/>
    <w:uiPriority w:val="0"/>
    <w:pPr>
      <w:keepNext/>
      <w:keepLines/>
      <w:spacing w:before="280" w:after="290" w:line="372" w:lineRule="auto"/>
      <w:outlineLvl w:val="4"/>
    </w:pPr>
    <w:rPr>
      <w:rFonts w:ascii="Times New Roman" w:hAnsi="Times New Roman" w:eastAsia="宋体"/>
      <w:b/>
      <w:sz w:val="28"/>
      <w:szCs w:val="20"/>
    </w:rPr>
  </w:style>
  <w:style w:type="paragraph" w:styleId="7">
    <w:name w:val="heading 6"/>
    <w:basedOn w:val="1"/>
    <w:next w:val="1"/>
    <w:link w:val="162"/>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4"/>
    </w:rPr>
  </w:style>
  <w:style w:type="paragraph" w:styleId="8">
    <w:name w:val="heading 7"/>
    <w:basedOn w:val="1"/>
    <w:next w:val="1"/>
    <w:link w:val="163"/>
    <w:qFormat/>
    <w:uiPriority w:val="0"/>
    <w:pPr>
      <w:keepNext/>
      <w:keepLines/>
      <w:widowControl/>
      <w:tabs>
        <w:tab w:val="left" w:pos="2520"/>
      </w:tabs>
      <w:spacing w:before="240" w:after="64" w:line="319" w:lineRule="auto"/>
      <w:ind w:left="1296" w:hanging="1296"/>
      <w:jc w:val="left"/>
      <w:outlineLvl w:val="6"/>
    </w:pPr>
    <w:rPr>
      <w:rFonts w:ascii="Times New Roman" w:hAnsi="Times New Roman" w:eastAsia="宋体"/>
      <w:b/>
      <w:bCs/>
      <w:kern w:val="0"/>
      <w:sz w:val="24"/>
      <w:szCs w:val="24"/>
    </w:rPr>
  </w:style>
  <w:style w:type="paragraph" w:styleId="9">
    <w:name w:val="heading 8"/>
    <w:basedOn w:val="1"/>
    <w:next w:val="1"/>
    <w:link w:val="164"/>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4"/>
    </w:rPr>
  </w:style>
  <w:style w:type="paragraph" w:styleId="10">
    <w:name w:val="heading 9"/>
    <w:basedOn w:val="1"/>
    <w:next w:val="1"/>
    <w:link w:val="165"/>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rFonts w:ascii="Times New Roman" w:hAnsi="Times New Roman" w:eastAsia="宋体"/>
      <w:sz w:val="18"/>
      <w:szCs w:val="18"/>
    </w:rPr>
  </w:style>
  <w:style w:type="paragraph" w:styleId="12">
    <w:name w:val="Normal Indent"/>
    <w:basedOn w:val="1"/>
    <w:link w:val="215"/>
    <w:qFormat/>
    <w:uiPriority w:val="0"/>
    <w:pPr>
      <w:ind w:firstLine="420" w:firstLineChars="200"/>
    </w:pPr>
    <w:rPr>
      <w:rFonts w:ascii="Times New Roman" w:hAnsi="Times New Roman" w:eastAsia="宋体"/>
      <w:szCs w:val="24"/>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181"/>
    <w:qFormat/>
    <w:uiPriority w:val="0"/>
    <w:pPr>
      <w:shd w:val="clear" w:color="auto" w:fill="000080"/>
    </w:pPr>
    <w:rPr>
      <w:rFonts w:asciiTheme="minorHAnsi" w:hAnsiTheme="minorHAnsi" w:eastAsiaTheme="minorEastAsia" w:cstheme="minorBidi"/>
      <w:szCs w:val="24"/>
    </w:rPr>
  </w:style>
  <w:style w:type="paragraph" w:styleId="15">
    <w:name w:val="annotation text"/>
    <w:basedOn w:val="1"/>
    <w:link w:val="196"/>
    <w:qFormat/>
    <w:uiPriority w:val="99"/>
    <w:pPr>
      <w:jc w:val="left"/>
    </w:pPr>
    <w:rPr>
      <w:rFonts w:asciiTheme="minorHAnsi" w:hAnsiTheme="minorHAnsi" w:eastAsiaTheme="minorEastAsia" w:cstheme="minorBidi"/>
      <w:szCs w:val="24"/>
    </w:rPr>
  </w:style>
  <w:style w:type="paragraph" w:styleId="16">
    <w:name w:val="Salutation"/>
    <w:basedOn w:val="1"/>
    <w:next w:val="1"/>
    <w:link w:val="263"/>
    <w:qFormat/>
    <w:uiPriority w:val="0"/>
    <w:rPr>
      <w:rFonts w:ascii="Times New Roman" w:hAnsi="Times New Roman" w:eastAsia="宋体"/>
      <w:sz w:val="28"/>
      <w:szCs w:val="24"/>
    </w:rPr>
  </w:style>
  <w:style w:type="paragraph" w:styleId="17">
    <w:name w:val="Body Text 3"/>
    <w:basedOn w:val="1"/>
    <w:link w:val="159"/>
    <w:qFormat/>
    <w:uiPriority w:val="0"/>
    <w:rPr>
      <w:rFonts w:ascii="宋体" w:hAnsi="Times New Roman" w:eastAsia="宋体"/>
      <w:kern w:val="0"/>
      <w:sz w:val="24"/>
      <w:szCs w:val="20"/>
    </w:rPr>
  </w:style>
  <w:style w:type="paragraph" w:styleId="18">
    <w:name w:val="Body Text"/>
    <w:basedOn w:val="1"/>
    <w:next w:val="19"/>
    <w:link w:val="186"/>
    <w:unhideWhenUsed/>
    <w:qFormat/>
    <w:uiPriority w:val="0"/>
    <w:pPr>
      <w:widowControl/>
      <w:spacing w:after="120"/>
      <w:jc w:val="left"/>
    </w:pPr>
    <w:rPr>
      <w:rFonts w:ascii="Calibri" w:hAnsi="Calibri" w:eastAsia="宋体"/>
      <w:kern w:val="0"/>
      <w:sz w:val="20"/>
      <w:szCs w:val="20"/>
    </w:rPr>
  </w:style>
  <w:style w:type="paragraph" w:styleId="19">
    <w:name w:val="Body Text 2"/>
    <w:basedOn w:val="1"/>
    <w:link w:val="233"/>
    <w:unhideWhenUsed/>
    <w:qFormat/>
    <w:uiPriority w:val="0"/>
    <w:pPr>
      <w:jc w:val="left"/>
    </w:pPr>
    <w:rPr>
      <w:rFonts w:ascii="宋体" w:hAnsi="宋体" w:eastAsiaTheme="minorEastAsia" w:cstheme="minorBidi"/>
      <w:color w:val="000000"/>
      <w:sz w:val="18"/>
      <w:szCs w:val="18"/>
    </w:rPr>
  </w:style>
  <w:style w:type="paragraph" w:styleId="20">
    <w:name w:val="Body Text Indent"/>
    <w:basedOn w:val="1"/>
    <w:link w:val="176"/>
    <w:qFormat/>
    <w:uiPriority w:val="0"/>
    <w:pPr>
      <w:spacing w:after="120"/>
      <w:ind w:left="420" w:leftChars="200"/>
    </w:pPr>
    <w:rPr>
      <w:rFonts w:ascii="Times New Roman" w:hAnsi="Times New Roman" w:eastAsia="宋体"/>
      <w:kern w:val="0"/>
      <w:sz w:val="20"/>
      <w:szCs w:val="24"/>
    </w:rPr>
  </w:style>
  <w:style w:type="paragraph" w:styleId="21">
    <w:name w:val="List 2"/>
    <w:basedOn w:val="1"/>
    <w:unhideWhenUsed/>
    <w:qFormat/>
    <w:uiPriority w:val="0"/>
    <w:pPr>
      <w:ind w:left="100" w:leftChars="200" w:hanging="200" w:hangingChars="200"/>
    </w:pPr>
    <w:rPr>
      <w:rFonts w:ascii="Times New Roman" w:hAnsi="Times New Roman" w:eastAsia="宋体"/>
      <w:szCs w:val="24"/>
    </w:rPr>
  </w:style>
  <w:style w:type="paragraph" w:styleId="22">
    <w:name w:val="index 4"/>
    <w:basedOn w:val="1"/>
    <w:next w:val="1"/>
    <w:unhideWhenUsed/>
    <w:qFormat/>
    <w:uiPriority w:val="0"/>
    <w:pPr>
      <w:ind w:left="600" w:leftChars="600"/>
    </w:pPr>
    <w:rPr>
      <w:rFonts w:ascii="Times New Roman" w:hAnsi="Times New Roman" w:eastAsia="宋体"/>
      <w:szCs w:val="24"/>
    </w:rPr>
  </w:style>
  <w:style w:type="paragraph" w:styleId="23">
    <w:name w:val="toc 5"/>
    <w:basedOn w:val="1"/>
    <w:next w:val="1"/>
    <w:qFormat/>
    <w:uiPriority w:val="39"/>
    <w:pPr>
      <w:ind w:left="840"/>
      <w:jc w:val="left"/>
    </w:pPr>
    <w:rPr>
      <w:rFonts w:ascii="Times New Roman" w:hAnsi="Times New Roman" w:eastAsia="宋体"/>
      <w:sz w:val="18"/>
      <w:szCs w:val="18"/>
    </w:rPr>
  </w:style>
  <w:style w:type="paragraph" w:styleId="24">
    <w:name w:val="toc 3"/>
    <w:basedOn w:val="1"/>
    <w:next w:val="1"/>
    <w:qFormat/>
    <w:uiPriority w:val="39"/>
    <w:pPr>
      <w:shd w:val="clear" w:color="auto" w:fill="FFFFFF"/>
      <w:spacing w:before="300" w:line="278" w:lineRule="exact"/>
      <w:jc w:val="distribute"/>
    </w:pPr>
    <w:rPr>
      <w:rFonts w:ascii="MingLiU" w:hAnsi="MingLiU" w:eastAsia="MingLiU" w:cs="MingLiU"/>
      <w:color w:val="000000"/>
      <w:kern w:val="0"/>
      <w:sz w:val="20"/>
      <w:szCs w:val="20"/>
      <w:lang w:val="zh-CN" w:bidi="zh-CN"/>
    </w:rPr>
  </w:style>
  <w:style w:type="paragraph" w:styleId="25">
    <w:name w:val="Plain Text"/>
    <w:basedOn w:val="1"/>
    <w:link w:val="211"/>
    <w:qFormat/>
    <w:uiPriority w:val="99"/>
    <w:rPr>
      <w:rFonts w:ascii="宋体" w:hAnsi="Courier New" w:eastAsia="宋体"/>
      <w:kern w:val="0"/>
      <w:sz w:val="20"/>
      <w:szCs w:val="20"/>
    </w:rPr>
  </w:style>
  <w:style w:type="paragraph" w:styleId="26">
    <w:name w:val="toc 8"/>
    <w:basedOn w:val="1"/>
    <w:next w:val="1"/>
    <w:qFormat/>
    <w:uiPriority w:val="39"/>
    <w:pPr>
      <w:ind w:left="1470"/>
      <w:jc w:val="left"/>
    </w:pPr>
    <w:rPr>
      <w:rFonts w:ascii="Times New Roman" w:hAnsi="Times New Roman" w:eastAsia="宋体"/>
      <w:sz w:val="18"/>
      <w:szCs w:val="18"/>
    </w:rPr>
  </w:style>
  <w:style w:type="paragraph" w:styleId="27">
    <w:name w:val="Date"/>
    <w:basedOn w:val="1"/>
    <w:next w:val="1"/>
    <w:link w:val="79"/>
    <w:unhideWhenUsed/>
    <w:qFormat/>
    <w:uiPriority w:val="0"/>
    <w:pPr>
      <w:widowControl/>
      <w:ind w:left="100" w:leftChars="2500"/>
      <w:jc w:val="left"/>
    </w:pPr>
    <w:rPr>
      <w:rFonts w:ascii="Calibri" w:hAnsi="Calibri" w:eastAsia="宋体"/>
      <w:kern w:val="0"/>
      <w:sz w:val="20"/>
      <w:szCs w:val="20"/>
    </w:rPr>
  </w:style>
  <w:style w:type="paragraph" w:styleId="28">
    <w:name w:val="Body Text Indent 2"/>
    <w:basedOn w:val="1"/>
    <w:link w:val="222"/>
    <w:unhideWhenUsed/>
    <w:qFormat/>
    <w:uiPriority w:val="0"/>
    <w:pPr>
      <w:spacing w:after="120" w:line="480" w:lineRule="auto"/>
      <w:ind w:left="420" w:leftChars="200"/>
    </w:pPr>
    <w:rPr>
      <w:rFonts w:asciiTheme="minorHAnsi" w:hAnsiTheme="minorHAnsi" w:eastAsiaTheme="minorEastAsia" w:cstheme="minorBidi"/>
      <w:szCs w:val="24"/>
    </w:rPr>
  </w:style>
  <w:style w:type="paragraph" w:styleId="29">
    <w:name w:val="Balloon Text"/>
    <w:basedOn w:val="1"/>
    <w:link w:val="81"/>
    <w:unhideWhenUsed/>
    <w:qFormat/>
    <w:uiPriority w:val="0"/>
    <w:pPr>
      <w:widowControl/>
      <w:jc w:val="left"/>
    </w:pPr>
    <w:rPr>
      <w:rFonts w:asciiTheme="minorHAnsi" w:hAnsiTheme="minorHAnsi" w:eastAsiaTheme="minorEastAsia" w:cstheme="minorBidi"/>
      <w:sz w:val="18"/>
      <w:szCs w:val="18"/>
    </w:rPr>
  </w:style>
  <w:style w:type="paragraph" w:styleId="30">
    <w:name w:val="footer"/>
    <w:basedOn w:val="1"/>
    <w:link w:val="85"/>
    <w:unhideWhenUsed/>
    <w:qFormat/>
    <w:uiPriority w:val="0"/>
    <w:pPr>
      <w:widowControl/>
      <w:tabs>
        <w:tab w:val="center" w:pos="4153"/>
        <w:tab w:val="right" w:pos="8306"/>
      </w:tabs>
      <w:snapToGrid w:val="0"/>
      <w:jc w:val="left"/>
    </w:pPr>
    <w:rPr>
      <w:rFonts w:asciiTheme="minorHAnsi" w:hAnsiTheme="minorHAnsi" w:eastAsiaTheme="minorEastAsia" w:cstheme="minorBidi"/>
      <w:sz w:val="18"/>
      <w:szCs w:val="18"/>
    </w:rPr>
  </w:style>
  <w:style w:type="paragraph" w:styleId="31">
    <w:name w:val="header"/>
    <w:basedOn w:val="1"/>
    <w:link w:val="83"/>
    <w:unhideWhenUsed/>
    <w:qFormat/>
    <w:uiPriority w:val="0"/>
    <w:pPr>
      <w:widowControl/>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2">
    <w:name w:val="toc 1"/>
    <w:basedOn w:val="1"/>
    <w:next w:val="1"/>
    <w:link w:val="147"/>
    <w:qFormat/>
    <w:uiPriority w:val="39"/>
    <w:pPr>
      <w:tabs>
        <w:tab w:val="left" w:leader="dot" w:pos="8870"/>
      </w:tabs>
      <w:spacing w:line="640" w:lineRule="exact"/>
    </w:pPr>
    <w:rPr>
      <w:rFonts w:ascii="仿宋" w:hAnsi="仿宋" w:eastAsia="仿宋" w:cs="MingLiU"/>
      <w:color w:val="000000"/>
    </w:rPr>
  </w:style>
  <w:style w:type="paragraph" w:styleId="33">
    <w:name w:val="toc 4"/>
    <w:basedOn w:val="1"/>
    <w:next w:val="1"/>
    <w:qFormat/>
    <w:uiPriority w:val="39"/>
    <w:pPr>
      <w:ind w:left="630"/>
      <w:jc w:val="left"/>
    </w:pPr>
    <w:rPr>
      <w:rFonts w:ascii="Times New Roman" w:hAnsi="Times New Roman" w:eastAsia="宋体"/>
      <w:sz w:val="18"/>
      <w:szCs w:val="18"/>
    </w:rPr>
  </w:style>
  <w:style w:type="paragraph" w:styleId="34">
    <w:name w:val="Subtitle"/>
    <w:basedOn w:val="1"/>
    <w:next w:val="1"/>
    <w:link w:val="255"/>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25"/>
    <w:qFormat/>
    <w:uiPriority w:val="0"/>
    <w:rPr>
      <w:rFonts w:ascii="Times New Roman" w:hAnsi="Times New Roman" w:eastAsia="宋体"/>
      <w:kern w:val="0"/>
      <w:sz w:val="20"/>
      <w:szCs w:val="20"/>
    </w:rPr>
  </w:style>
  <w:style w:type="paragraph" w:styleId="36">
    <w:name w:val="toc 6"/>
    <w:basedOn w:val="1"/>
    <w:next w:val="1"/>
    <w:qFormat/>
    <w:uiPriority w:val="39"/>
    <w:pPr>
      <w:ind w:left="1050"/>
      <w:jc w:val="left"/>
    </w:pPr>
    <w:rPr>
      <w:rFonts w:ascii="Times New Roman" w:hAnsi="Times New Roman" w:eastAsia="宋体"/>
      <w:sz w:val="18"/>
      <w:szCs w:val="18"/>
    </w:rPr>
  </w:style>
  <w:style w:type="paragraph" w:styleId="37">
    <w:name w:val="Body Text Indent 3"/>
    <w:basedOn w:val="1"/>
    <w:link w:val="204"/>
    <w:qFormat/>
    <w:uiPriority w:val="0"/>
    <w:pPr>
      <w:spacing w:after="120"/>
      <w:ind w:left="420" w:leftChars="200"/>
    </w:pPr>
    <w:rPr>
      <w:rFonts w:ascii="Times New Roman" w:hAnsi="Times New Roman" w:eastAsia="宋体"/>
      <w:kern w:val="0"/>
      <w:sz w:val="16"/>
      <w:szCs w:val="16"/>
    </w:rPr>
  </w:style>
  <w:style w:type="paragraph" w:styleId="38">
    <w:name w:val="toc 2"/>
    <w:basedOn w:val="1"/>
    <w:next w:val="1"/>
    <w:qFormat/>
    <w:uiPriority w:val="39"/>
    <w:pPr>
      <w:shd w:val="clear" w:color="auto" w:fill="FFFFFF"/>
      <w:spacing w:before="300" w:line="278" w:lineRule="exact"/>
      <w:jc w:val="distribute"/>
    </w:pPr>
    <w:rPr>
      <w:rFonts w:ascii="MingLiU" w:hAnsi="MingLiU" w:eastAsia="MingLiU" w:cs="MingLiU"/>
      <w:color w:val="000000"/>
      <w:kern w:val="0"/>
      <w:sz w:val="20"/>
      <w:szCs w:val="20"/>
      <w:lang w:val="zh-CN" w:bidi="zh-CN"/>
    </w:rPr>
  </w:style>
  <w:style w:type="paragraph" w:styleId="39">
    <w:name w:val="toc 9"/>
    <w:basedOn w:val="1"/>
    <w:next w:val="1"/>
    <w:qFormat/>
    <w:uiPriority w:val="39"/>
    <w:pPr>
      <w:ind w:left="1680"/>
      <w:jc w:val="left"/>
    </w:pPr>
    <w:rPr>
      <w:rFonts w:ascii="Times New Roman" w:hAnsi="Times New Roman" w:eastAsia="宋体"/>
      <w:sz w:val="18"/>
      <w:szCs w:val="18"/>
    </w:rPr>
  </w:style>
  <w:style w:type="paragraph" w:styleId="40">
    <w:name w:val="List Continue 2"/>
    <w:basedOn w:val="1"/>
    <w:unhideWhenUsed/>
    <w:qFormat/>
    <w:uiPriority w:val="0"/>
    <w:pPr>
      <w:spacing w:after="120"/>
      <w:ind w:left="840" w:leftChars="400"/>
    </w:pPr>
    <w:rPr>
      <w:rFonts w:ascii="Times New Roman" w:hAnsi="Times New Roman" w:eastAsia="宋体"/>
      <w:szCs w:val="20"/>
    </w:rPr>
  </w:style>
  <w:style w:type="paragraph" w:styleId="41">
    <w:name w:val="Normal (Web)"/>
    <w:basedOn w:val="1"/>
    <w:unhideWhenUsed/>
    <w:qFormat/>
    <w:uiPriority w:val="0"/>
    <w:pPr>
      <w:widowControl/>
      <w:jc w:val="left"/>
    </w:pPr>
    <w:rPr>
      <w:rFonts w:ascii="Times New Roman" w:hAnsi="Times New Roman" w:eastAsia="宋体"/>
      <w:kern w:val="0"/>
      <w:sz w:val="24"/>
      <w:szCs w:val="24"/>
    </w:rPr>
  </w:style>
  <w:style w:type="paragraph" w:styleId="42">
    <w:name w:val="index 1"/>
    <w:basedOn w:val="1"/>
    <w:next w:val="1"/>
    <w:qFormat/>
    <w:uiPriority w:val="0"/>
    <w:pPr>
      <w:spacing w:line="220" w:lineRule="exact"/>
      <w:jc w:val="center"/>
    </w:pPr>
    <w:rPr>
      <w:rFonts w:ascii="仿宋_GB2312" w:hAnsi="Times New Roman" w:eastAsia="仿宋_GB2312"/>
      <w:szCs w:val="21"/>
    </w:rPr>
  </w:style>
  <w:style w:type="paragraph" w:styleId="43">
    <w:name w:val="Title"/>
    <w:basedOn w:val="1"/>
    <w:link w:val="192"/>
    <w:qFormat/>
    <w:uiPriority w:val="0"/>
    <w:pPr>
      <w:adjustRightInd w:val="0"/>
      <w:spacing w:before="240" w:after="60" w:line="420" w:lineRule="atLeast"/>
      <w:jc w:val="center"/>
      <w:textAlignment w:val="baseline"/>
      <w:outlineLvl w:val="0"/>
    </w:pPr>
    <w:rPr>
      <w:rFonts w:ascii="Arial" w:hAnsi="Arial" w:eastAsia="宋体"/>
      <w:b/>
      <w:kern w:val="0"/>
      <w:sz w:val="32"/>
      <w:szCs w:val="20"/>
    </w:rPr>
  </w:style>
  <w:style w:type="paragraph" w:styleId="44">
    <w:name w:val="annotation subject"/>
    <w:basedOn w:val="15"/>
    <w:next w:val="15"/>
    <w:link w:val="199"/>
    <w:qFormat/>
    <w:uiPriority w:val="0"/>
    <w:pPr>
      <w:jc w:val="both"/>
    </w:pPr>
    <w:rPr>
      <w:b/>
      <w:bCs/>
    </w:rPr>
  </w:style>
  <w:style w:type="paragraph" w:styleId="45">
    <w:name w:val="Body Text First Indent"/>
    <w:basedOn w:val="1"/>
    <w:link w:val="187"/>
    <w:qFormat/>
    <w:uiPriority w:val="0"/>
    <w:pPr>
      <w:spacing w:line="312" w:lineRule="auto"/>
      <w:ind w:firstLine="420"/>
    </w:pPr>
    <w:rPr>
      <w:rFonts w:ascii="Calibri" w:hAnsi="Calibri" w:eastAsia="宋体"/>
      <w:szCs w:val="24"/>
    </w:rPr>
  </w:style>
  <w:style w:type="paragraph" w:styleId="46">
    <w:name w:val="Body Text First Indent 2"/>
    <w:basedOn w:val="20"/>
    <w:qFormat/>
    <w:uiPriority w:val="99"/>
    <w:pPr>
      <w:ind w:firstLine="420" w:firstLineChars="200"/>
    </w:pPr>
  </w:style>
  <w:style w:type="table" w:styleId="48">
    <w:name w:val="Table Grid"/>
    <w:basedOn w:val="4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0">
    <w:name w:val="Strong"/>
    <w:qFormat/>
    <w:uiPriority w:val="0"/>
    <w:rPr>
      <w:b/>
      <w:bCs/>
    </w:rPr>
  </w:style>
  <w:style w:type="character" w:styleId="51">
    <w:name w:val="page number"/>
    <w:qFormat/>
    <w:uiPriority w:val="0"/>
  </w:style>
  <w:style w:type="character" w:styleId="52">
    <w:name w:val="FollowedHyperlink"/>
    <w:basedOn w:val="49"/>
    <w:unhideWhenUsed/>
    <w:qFormat/>
    <w:uiPriority w:val="0"/>
    <w:rPr>
      <w:color w:val="800080" w:themeColor="followedHyperlink"/>
      <w:u w:val="single"/>
      <w14:textFill>
        <w14:solidFill>
          <w14:schemeClr w14:val="folHlink"/>
        </w14:solidFill>
      </w14:textFill>
    </w:rPr>
  </w:style>
  <w:style w:type="character" w:styleId="53">
    <w:name w:val="Emphasis"/>
    <w:basedOn w:val="49"/>
    <w:qFormat/>
    <w:uiPriority w:val="20"/>
  </w:style>
  <w:style w:type="character" w:styleId="54">
    <w:name w:val="Hyperlink"/>
    <w:qFormat/>
    <w:uiPriority w:val="99"/>
    <w:rPr>
      <w:color w:val="0066CC"/>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character" w:customStyle="1" w:styleId="57">
    <w:name w:val="标题 1 Char"/>
    <w:basedOn w:val="49"/>
    <w:qFormat/>
    <w:uiPriority w:val="0"/>
    <w:rPr>
      <w:rFonts w:ascii="等线" w:hAnsi="等线" w:eastAsia="等线" w:cs="Times New Roman"/>
      <w:b/>
      <w:bCs/>
      <w:kern w:val="44"/>
      <w:sz w:val="44"/>
      <w:szCs w:val="44"/>
    </w:rPr>
  </w:style>
  <w:style w:type="character" w:customStyle="1" w:styleId="58">
    <w:name w:val="标题 2 Char"/>
    <w:basedOn w:val="49"/>
    <w:qFormat/>
    <w:uiPriority w:val="0"/>
    <w:rPr>
      <w:rFonts w:asciiTheme="majorHAnsi" w:hAnsiTheme="majorHAnsi" w:eastAsiaTheme="majorEastAsia" w:cstheme="majorBidi"/>
      <w:b/>
      <w:bCs/>
      <w:sz w:val="32"/>
      <w:szCs w:val="32"/>
    </w:rPr>
  </w:style>
  <w:style w:type="character" w:customStyle="1" w:styleId="59">
    <w:name w:val="标题 3 Char"/>
    <w:basedOn w:val="49"/>
    <w:qFormat/>
    <w:uiPriority w:val="0"/>
    <w:rPr>
      <w:rFonts w:ascii="等线" w:hAnsi="等线" w:eastAsia="等线" w:cs="Times New Roman"/>
      <w:b/>
      <w:bCs/>
      <w:sz w:val="32"/>
      <w:szCs w:val="32"/>
    </w:rPr>
  </w:style>
  <w:style w:type="character" w:customStyle="1" w:styleId="60">
    <w:name w:val="标题 4 Char"/>
    <w:basedOn w:val="49"/>
    <w:qFormat/>
    <w:uiPriority w:val="0"/>
    <w:rPr>
      <w:rFonts w:asciiTheme="majorHAnsi" w:hAnsiTheme="majorHAnsi" w:eastAsiaTheme="majorEastAsia" w:cstheme="majorBidi"/>
      <w:b/>
      <w:bCs/>
      <w:sz w:val="28"/>
      <w:szCs w:val="28"/>
    </w:rPr>
  </w:style>
  <w:style w:type="character" w:customStyle="1" w:styleId="61">
    <w:name w:val="标题 6 Char"/>
    <w:basedOn w:val="49"/>
    <w:qFormat/>
    <w:uiPriority w:val="0"/>
    <w:rPr>
      <w:rFonts w:asciiTheme="majorHAnsi" w:hAnsiTheme="majorHAnsi" w:eastAsiaTheme="majorEastAsia" w:cstheme="majorBidi"/>
      <w:b/>
      <w:bCs/>
      <w:sz w:val="24"/>
      <w:szCs w:val="24"/>
    </w:rPr>
  </w:style>
  <w:style w:type="character" w:customStyle="1" w:styleId="62">
    <w:name w:val="标题 7 Char"/>
    <w:basedOn w:val="49"/>
    <w:qFormat/>
    <w:uiPriority w:val="0"/>
    <w:rPr>
      <w:rFonts w:ascii="等线" w:hAnsi="等线" w:eastAsia="等线" w:cs="Times New Roman"/>
      <w:b/>
      <w:bCs/>
      <w:sz w:val="24"/>
      <w:szCs w:val="24"/>
    </w:rPr>
  </w:style>
  <w:style w:type="character" w:customStyle="1" w:styleId="63">
    <w:name w:val="标题 8 Char"/>
    <w:basedOn w:val="49"/>
    <w:qFormat/>
    <w:uiPriority w:val="0"/>
    <w:rPr>
      <w:rFonts w:asciiTheme="majorHAnsi" w:hAnsiTheme="majorHAnsi" w:eastAsiaTheme="majorEastAsia" w:cstheme="majorBidi"/>
      <w:sz w:val="24"/>
      <w:szCs w:val="24"/>
    </w:rPr>
  </w:style>
  <w:style w:type="character" w:customStyle="1" w:styleId="64">
    <w:name w:val="标题 9 Char"/>
    <w:basedOn w:val="49"/>
    <w:qFormat/>
    <w:uiPriority w:val="0"/>
    <w:rPr>
      <w:rFonts w:asciiTheme="majorHAnsi" w:hAnsiTheme="majorHAnsi" w:eastAsiaTheme="majorEastAsia" w:cstheme="majorBidi"/>
      <w:szCs w:val="21"/>
    </w:rPr>
  </w:style>
  <w:style w:type="character" w:customStyle="1" w:styleId="65">
    <w:name w:val="标题 1 字符"/>
    <w:qFormat/>
    <w:uiPriority w:val="9"/>
    <w:rPr>
      <w:b/>
      <w:bCs/>
      <w:kern w:val="44"/>
      <w:sz w:val="44"/>
      <w:szCs w:val="44"/>
    </w:rPr>
  </w:style>
  <w:style w:type="character" w:customStyle="1" w:styleId="66">
    <w:name w:val="标题 2 字符"/>
    <w:semiHidden/>
    <w:qFormat/>
    <w:uiPriority w:val="9"/>
    <w:rPr>
      <w:rFonts w:ascii="等线 Light" w:hAnsi="等线 Light" w:eastAsia="等线 Light" w:cs="Times New Roman"/>
      <w:b/>
      <w:bCs/>
      <w:sz w:val="32"/>
      <w:szCs w:val="32"/>
    </w:rPr>
  </w:style>
  <w:style w:type="character" w:customStyle="1" w:styleId="67">
    <w:name w:val="标题 3 字符"/>
    <w:semiHidden/>
    <w:qFormat/>
    <w:uiPriority w:val="9"/>
    <w:rPr>
      <w:b/>
      <w:bCs/>
      <w:sz w:val="32"/>
      <w:szCs w:val="32"/>
    </w:rPr>
  </w:style>
  <w:style w:type="character" w:customStyle="1" w:styleId="68">
    <w:name w:val="标题 4 字符"/>
    <w:semiHidden/>
    <w:qFormat/>
    <w:uiPriority w:val="9"/>
    <w:rPr>
      <w:rFonts w:ascii="等线 Light" w:hAnsi="等线 Light" w:eastAsia="等线 Light" w:cs="Times New Roman"/>
      <w:b/>
      <w:bCs/>
      <w:sz w:val="28"/>
      <w:szCs w:val="28"/>
    </w:rPr>
  </w:style>
  <w:style w:type="character" w:customStyle="1" w:styleId="69">
    <w:name w:val="标题 6 字符"/>
    <w:semiHidden/>
    <w:qFormat/>
    <w:uiPriority w:val="9"/>
    <w:rPr>
      <w:rFonts w:ascii="等线 Light" w:hAnsi="等线 Light" w:eastAsia="等线 Light" w:cs="Times New Roman"/>
      <w:b/>
      <w:bCs/>
      <w:sz w:val="24"/>
      <w:szCs w:val="24"/>
    </w:rPr>
  </w:style>
  <w:style w:type="character" w:customStyle="1" w:styleId="70">
    <w:name w:val="标题 7 字符"/>
    <w:semiHidden/>
    <w:qFormat/>
    <w:uiPriority w:val="9"/>
    <w:rPr>
      <w:b/>
      <w:bCs/>
      <w:sz w:val="24"/>
      <w:szCs w:val="24"/>
    </w:rPr>
  </w:style>
  <w:style w:type="character" w:customStyle="1" w:styleId="71">
    <w:name w:val="标题 8 字符"/>
    <w:semiHidden/>
    <w:qFormat/>
    <w:uiPriority w:val="9"/>
    <w:rPr>
      <w:rFonts w:ascii="等线 Light" w:hAnsi="等线 Light" w:eastAsia="等线 Light" w:cs="Times New Roman"/>
      <w:sz w:val="24"/>
      <w:szCs w:val="24"/>
    </w:rPr>
  </w:style>
  <w:style w:type="character" w:customStyle="1" w:styleId="72">
    <w:name w:val="标题 9 字符"/>
    <w:semiHidden/>
    <w:qFormat/>
    <w:uiPriority w:val="9"/>
    <w:rPr>
      <w:rFonts w:ascii="等线 Light" w:hAnsi="等线 Light" w:eastAsia="等线 Light" w:cs="Times New Roman"/>
      <w:szCs w:val="21"/>
    </w:rPr>
  </w:style>
  <w:style w:type="character" w:customStyle="1" w:styleId="73">
    <w:name w:val="日期 Char1"/>
    <w:qFormat/>
    <w:uiPriority w:val="0"/>
    <w:rPr>
      <w:rFonts w:ascii="Calibri" w:hAnsi="Calibri" w:eastAsia="宋体" w:cs="Times New Roman"/>
      <w:kern w:val="0"/>
      <w:sz w:val="20"/>
      <w:szCs w:val="20"/>
    </w:rPr>
  </w:style>
  <w:style w:type="character" w:customStyle="1" w:styleId="74">
    <w:name w:val="页眉 Char1"/>
    <w:qFormat/>
    <w:uiPriority w:val="99"/>
    <w:rPr>
      <w:sz w:val="18"/>
      <w:szCs w:val="18"/>
    </w:rPr>
  </w:style>
  <w:style w:type="character" w:customStyle="1" w:styleId="75">
    <w:name w:val="页脚 Char1"/>
    <w:qFormat/>
    <w:uiPriority w:val="99"/>
    <w:rPr>
      <w:sz w:val="18"/>
      <w:szCs w:val="18"/>
    </w:rPr>
  </w:style>
  <w:style w:type="character" w:customStyle="1" w:styleId="76">
    <w:name w:val="无间隔 字符"/>
    <w:link w:val="77"/>
    <w:qFormat/>
    <w:uiPriority w:val="1"/>
    <w:rPr>
      <w:sz w:val="22"/>
    </w:rPr>
  </w:style>
  <w:style w:type="paragraph" w:styleId="77">
    <w:name w:val="No Spacing"/>
    <w:link w:val="76"/>
    <w:qFormat/>
    <w:uiPriority w:val="0"/>
    <w:rPr>
      <w:rFonts w:asciiTheme="minorHAnsi" w:hAnsiTheme="minorHAnsi" w:eastAsiaTheme="minorEastAsia" w:cstheme="minorBidi"/>
      <w:kern w:val="2"/>
      <w:sz w:val="22"/>
      <w:szCs w:val="22"/>
      <w:lang w:val="en-US" w:eastAsia="zh-CN" w:bidi="ar-SA"/>
    </w:rPr>
  </w:style>
  <w:style w:type="character" w:customStyle="1" w:styleId="78">
    <w:name w:val="批注框文本 Char1"/>
    <w:qFormat/>
    <w:uiPriority w:val="0"/>
    <w:rPr>
      <w:sz w:val="18"/>
      <w:szCs w:val="18"/>
    </w:rPr>
  </w:style>
  <w:style w:type="character" w:customStyle="1" w:styleId="79">
    <w:name w:val="日期 字符1"/>
    <w:basedOn w:val="49"/>
    <w:link w:val="27"/>
    <w:qFormat/>
    <w:uiPriority w:val="0"/>
    <w:rPr>
      <w:rFonts w:ascii="等线" w:hAnsi="等线" w:eastAsia="等线" w:cs="Times New Roman"/>
    </w:rPr>
  </w:style>
  <w:style w:type="character" w:customStyle="1" w:styleId="80">
    <w:name w:val="日期 字符"/>
    <w:basedOn w:val="49"/>
    <w:semiHidden/>
    <w:qFormat/>
    <w:uiPriority w:val="99"/>
  </w:style>
  <w:style w:type="character" w:customStyle="1" w:styleId="81">
    <w:name w:val="批注框文本 字符1"/>
    <w:basedOn w:val="49"/>
    <w:link w:val="29"/>
    <w:qFormat/>
    <w:uiPriority w:val="0"/>
    <w:rPr>
      <w:rFonts w:ascii="等线" w:hAnsi="等线" w:eastAsia="等线" w:cs="Times New Roman"/>
      <w:sz w:val="18"/>
      <w:szCs w:val="18"/>
    </w:rPr>
  </w:style>
  <w:style w:type="character" w:customStyle="1" w:styleId="82">
    <w:name w:val="批注框文本 字符"/>
    <w:semiHidden/>
    <w:qFormat/>
    <w:uiPriority w:val="99"/>
    <w:rPr>
      <w:sz w:val="18"/>
      <w:szCs w:val="18"/>
    </w:rPr>
  </w:style>
  <w:style w:type="character" w:customStyle="1" w:styleId="83">
    <w:name w:val="页眉 字符1"/>
    <w:basedOn w:val="49"/>
    <w:link w:val="31"/>
    <w:qFormat/>
    <w:uiPriority w:val="0"/>
    <w:rPr>
      <w:rFonts w:ascii="等线" w:hAnsi="等线" w:eastAsia="等线" w:cs="Times New Roman"/>
      <w:sz w:val="18"/>
      <w:szCs w:val="18"/>
    </w:rPr>
  </w:style>
  <w:style w:type="character" w:customStyle="1" w:styleId="84">
    <w:name w:val="页眉 字符"/>
    <w:semiHidden/>
    <w:qFormat/>
    <w:uiPriority w:val="99"/>
    <w:rPr>
      <w:sz w:val="18"/>
      <w:szCs w:val="18"/>
    </w:rPr>
  </w:style>
  <w:style w:type="character" w:customStyle="1" w:styleId="85">
    <w:name w:val="页脚 字符1"/>
    <w:basedOn w:val="49"/>
    <w:link w:val="30"/>
    <w:qFormat/>
    <w:uiPriority w:val="0"/>
    <w:rPr>
      <w:rFonts w:ascii="等线" w:hAnsi="等线" w:eastAsia="等线" w:cs="Times New Roman"/>
      <w:sz w:val="18"/>
      <w:szCs w:val="18"/>
    </w:rPr>
  </w:style>
  <w:style w:type="character" w:customStyle="1" w:styleId="86">
    <w:name w:val="页脚 字符"/>
    <w:semiHidden/>
    <w:qFormat/>
    <w:uiPriority w:val="99"/>
    <w:rPr>
      <w:sz w:val="18"/>
      <w:szCs w:val="18"/>
    </w:rPr>
  </w:style>
  <w:style w:type="paragraph" w:customStyle="1" w:styleId="87">
    <w:name w:val="列出段落1"/>
    <w:basedOn w:val="1"/>
    <w:qFormat/>
    <w:uiPriority w:val="0"/>
    <w:pPr>
      <w:widowControl/>
      <w:ind w:firstLine="420" w:firstLineChars="200"/>
      <w:jc w:val="left"/>
    </w:pPr>
    <w:rPr>
      <w:rFonts w:ascii="Calibri" w:hAnsi="Calibri" w:eastAsia="宋体"/>
      <w:kern w:val="0"/>
      <w:sz w:val="20"/>
      <w:szCs w:val="20"/>
    </w:rPr>
  </w:style>
  <w:style w:type="paragraph" w:styleId="88">
    <w:name w:val="List Paragraph"/>
    <w:basedOn w:val="1"/>
    <w:qFormat/>
    <w:uiPriority w:val="0"/>
    <w:pPr>
      <w:widowControl/>
      <w:ind w:firstLine="420" w:firstLineChars="200"/>
      <w:jc w:val="left"/>
    </w:pPr>
    <w:rPr>
      <w:kern w:val="0"/>
      <w:sz w:val="20"/>
      <w:szCs w:val="20"/>
    </w:rPr>
  </w:style>
  <w:style w:type="character" w:customStyle="1" w:styleId="89">
    <w:name w:val="正文1 Char"/>
    <w:link w:val="90"/>
    <w:qFormat/>
    <w:uiPriority w:val="0"/>
    <w:rPr>
      <w:rFonts w:ascii="等线" w:hAnsi="等线" w:eastAsia="等线" w:cs="Times New Roman"/>
    </w:rPr>
  </w:style>
  <w:style w:type="paragraph" w:customStyle="1" w:styleId="90">
    <w:name w:val="正文1"/>
    <w:basedOn w:val="1"/>
    <w:link w:val="89"/>
    <w:qFormat/>
    <w:uiPriority w:val="0"/>
    <w:pPr>
      <w:widowControl/>
      <w:jc w:val="left"/>
    </w:pPr>
  </w:style>
  <w:style w:type="paragraph" w:customStyle="1" w:styleId="91">
    <w:name w:val="样式1"/>
    <w:basedOn w:val="1"/>
    <w:next w:val="5"/>
    <w:qFormat/>
    <w:uiPriority w:val="0"/>
    <w:pPr>
      <w:widowControl/>
      <w:spacing w:line="360" w:lineRule="auto"/>
      <w:ind w:firstLine="420" w:firstLineChars="200"/>
      <w:jc w:val="left"/>
    </w:pPr>
    <w:rPr>
      <w:rFonts w:ascii="宋体" w:hAnsi="宋体" w:eastAsia="宋体"/>
      <w:kern w:val="0"/>
      <w:sz w:val="20"/>
      <w:szCs w:val="21"/>
    </w:rPr>
  </w:style>
  <w:style w:type="character" w:customStyle="1" w:styleId="92">
    <w:name w:val="标题 4 字符1"/>
    <w:link w:val="5"/>
    <w:qFormat/>
    <w:uiPriority w:val="0"/>
    <w:rPr>
      <w:rFonts w:ascii="等线 Light" w:hAnsi="等线 Light" w:eastAsia="等线 Light" w:cs="Times New Roman"/>
      <w:b/>
      <w:bCs/>
      <w:kern w:val="0"/>
      <w:sz w:val="28"/>
      <w:szCs w:val="28"/>
    </w:rPr>
  </w:style>
  <w:style w:type="character" w:customStyle="1" w:styleId="93">
    <w:name w:val="标题 1 字符1"/>
    <w:link w:val="2"/>
    <w:qFormat/>
    <w:uiPriority w:val="0"/>
    <w:rPr>
      <w:rFonts w:ascii="Times New Roman" w:hAnsi="Times New Roman" w:eastAsia="宋体" w:cs="Times New Roman"/>
      <w:b/>
      <w:bCs/>
      <w:kern w:val="44"/>
      <w:sz w:val="44"/>
      <w:szCs w:val="44"/>
    </w:rPr>
  </w:style>
  <w:style w:type="character" w:customStyle="1" w:styleId="94">
    <w:name w:val="正文文本 (3)_"/>
    <w:link w:val="95"/>
    <w:qFormat/>
    <w:uiPriority w:val="0"/>
    <w:rPr>
      <w:rFonts w:ascii="MingLiU" w:hAnsi="MingLiU" w:eastAsia="MingLiU" w:cs="MingLiU"/>
      <w:sz w:val="28"/>
      <w:szCs w:val="28"/>
      <w:shd w:val="clear" w:color="auto" w:fill="FFFFFF"/>
    </w:rPr>
  </w:style>
  <w:style w:type="paragraph" w:customStyle="1" w:styleId="95">
    <w:name w:val="正文文本 (3)"/>
    <w:basedOn w:val="1"/>
    <w:link w:val="94"/>
    <w:qFormat/>
    <w:uiPriority w:val="0"/>
    <w:pPr>
      <w:widowControl/>
      <w:shd w:val="clear" w:color="auto" w:fill="FFFFFF"/>
      <w:spacing w:after="1740" w:line="0" w:lineRule="atLeast"/>
      <w:jc w:val="left"/>
    </w:pPr>
    <w:rPr>
      <w:rFonts w:ascii="MingLiU" w:hAnsi="MingLiU" w:eastAsia="MingLiU" w:cs="MingLiU"/>
      <w:sz w:val="28"/>
      <w:szCs w:val="28"/>
    </w:rPr>
  </w:style>
  <w:style w:type="character" w:customStyle="1" w:styleId="96">
    <w:name w:val="正文文本 (3) + 间距 2 pt"/>
    <w:qFormat/>
    <w:uiPriority w:val="0"/>
    <w:rPr>
      <w:rFonts w:ascii="MingLiU" w:hAnsi="MingLiU" w:eastAsia="MingLiU" w:cs="MingLiU"/>
      <w:color w:val="000000"/>
      <w:spacing w:val="50"/>
      <w:w w:val="100"/>
      <w:position w:val="0"/>
      <w:sz w:val="28"/>
      <w:szCs w:val="28"/>
      <w:u w:val="none"/>
      <w:lang w:val="zh-TW" w:eastAsia="zh-TW" w:bidi="zh-TW"/>
    </w:rPr>
  </w:style>
  <w:style w:type="character" w:customStyle="1" w:styleId="97">
    <w:name w:val="正文文本 (4)_"/>
    <w:link w:val="98"/>
    <w:qFormat/>
    <w:uiPriority w:val="0"/>
    <w:rPr>
      <w:rFonts w:ascii="MingLiU" w:hAnsi="MingLiU" w:eastAsia="MingLiU" w:cs="MingLiU"/>
      <w:spacing w:val="-10"/>
      <w:sz w:val="44"/>
      <w:szCs w:val="44"/>
      <w:shd w:val="clear" w:color="auto" w:fill="FFFFFF"/>
    </w:rPr>
  </w:style>
  <w:style w:type="paragraph" w:customStyle="1" w:styleId="98">
    <w:name w:val="正文文本 (4)"/>
    <w:basedOn w:val="1"/>
    <w:link w:val="97"/>
    <w:qFormat/>
    <w:uiPriority w:val="0"/>
    <w:pPr>
      <w:widowControl/>
      <w:shd w:val="clear" w:color="auto" w:fill="FFFFFF"/>
      <w:spacing w:before="1740" w:after="780" w:line="0" w:lineRule="atLeast"/>
      <w:jc w:val="center"/>
    </w:pPr>
    <w:rPr>
      <w:rFonts w:ascii="MingLiU" w:hAnsi="MingLiU" w:eastAsia="MingLiU" w:cs="MingLiU"/>
      <w:spacing w:val="-10"/>
      <w:sz w:val="44"/>
      <w:szCs w:val="44"/>
    </w:rPr>
  </w:style>
  <w:style w:type="character" w:customStyle="1" w:styleId="99">
    <w:name w:val="正文文本 (4) + 间距 2 pt"/>
    <w:qFormat/>
    <w:uiPriority w:val="0"/>
    <w:rPr>
      <w:rFonts w:ascii="MingLiU" w:hAnsi="MingLiU" w:eastAsia="MingLiU" w:cs="MingLiU"/>
      <w:color w:val="000000"/>
      <w:spacing w:val="50"/>
      <w:w w:val="100"/>
      <w:position w:val="0"/>
      <w:sz w:val="44"/>
      <w:szCs w:val="44"/>
      <w:u w:val="none"/>
      <w:lang w:val="zh-TW" w:eastAsia="zh-TW" w:bidi="zh-TW"/>
    </w:rPr>
  </w:style>
  <w:style w:type="character" w:customStyle="1" w:styleId="100">
    <w:name w:val="正文文本 (5)_"/>
    <w:link w:val="101"/>
    <w:qFormat/>
    <w:uiPriority w:val="0"/>
    <w:rPr>
      <w:rFonts w:ascii="MingLiU" w:hAnsi="MingLiU" w:eastAsia="MingLiU" w:cs="MingLiU"/>
      <w:spacing w:val="60"/>
      <w:sz w:val="72"/>
      <w:szCs w:val="72"/>
      <w:shd w:val="clear" w:color="auto" w:fill="FFFFFF"/>
    </w:rPr>
  </w:style>
  <w:style w:type="paragraph" w:customStyle="1" w:styleId="101">
    <w:name w:val="正文文本 (5)"/>
    <w:basedOn w:val="1"/>
    <w:link w:val="100"/>
    <w:qFormat/>
    <w:uiPriority w:val="0"/>
    <w:pPr>
      <w:widowControl/>
      <w:shd w:val="clear" w:color="auto" w:fill="FFFFFF"/>
      <w:spacing w:before="780" w:after="300" w:line="0" w:lineRule="atLeast"/>
      <w:jc w:val="left"/>
    </w:pPr>
    <w:rPr>
      <w:rFonts w:ascii="MingLiU" w:hAnsi="MingLiU" w:eastAsia="MingLiU" w:cs="MingLiU"/>
      <w:spacing w:val="60"/>
      <w:sz w:val="72"/>
      <w:szCs w:val="72"/>
    </w:rPr>
  </w:style>
  <w:style w:type="character" w:customStyle="1" w:styleId="102">
    <w:name w:val="正文文本 (2)_"/>
    <w:link w:val="103"/>
    <w:qFormat/>
    <w:uiPriority w:val="0"/>
    <w:rPr>
      <w:rFonts w:ascii="MingLiU" w:hAnsi="MingLiU" w:eastAsia="MingLiU" w:cs="MingLiU"/>
      <w:szCs w:val="21"/>
      <w:shd w:val="clear" w:color="auto" w:fill="FFFFFF"/>
    </w:rPr>
  </w:style>
  <w:style w:type="paragraph" w:customStyle="1" w:styleId="103">
    <w:name w:val="正文文本 (2)"/>
    <w:basedOn w:val="1"/>
    <w:link w:val="102"/>
    <w:qFormat/>
    <w:uiPriority w:val="0"/>
    <w:pPr>
      <w:widowControl/>
      <w:shd w:val="clear" w:color="auto" w:fill="FFFFFF"/>
      <w:spacing w:before="720" w:line="499" w:lineRule="exact"/>
      <w:jc w:val="distribute"/>
    </w:pPr>
    <w:rPr>
      <w:rFonts w:ascii="MingLiU" w:hAnsi="MingLiU" w:eastAsia="MingLiU" w:cs="MingLiU"/>
      <w:szCs w:val="21"/>
    </w:rPr>
  </w:style>
  <w:style w:type="character" w:customStyle="1" w:styleId="104">
    <w:name w:val="正文文本 (6)_"/>
    <w:link w:val="105"/>
    <w:qFormat/>
    <w:uiPriority w:val="0"/>
    <w:rPr>
      <w:rFonts w:ascii="MingLiU" w:hAnsi="MingLiU" w:eastAsia="MingLiU" w:cs="MingLiU"/>
      <w:sz w:val="26"/>
      <w:szCs w:val="26"/>
      <w:shd w:val="clear" w:color="auto" w:fill="FFFFFF"/>
    </w:rPr>
  </w:style>
  <w:style w:type="paragraph" w:customStyle="1" w:styleId="105">
    <w:name w:val="正文文本 (6)"/>
    <w:basedOn w:val="1"/>
    <w:link w:val="104"/>
    <w:qFormat/>
    <w:uiPriority w:val="0"/>
    <w:pPr>
      <w:widowControl/>
      <w:shd w:val="clear" w:color="auto" w:fill="FFFFFF"/>
      <w:spacing w:after="360" w:line="0" w:lineRule="atLeast"/>
      <w:jc w:val="distribute"/>
    </w:pPr>
    <w:rPr>
      <w:rFonts w:ascii="MingLiU" w:hAnsi="MingLiU" w:eastAsia="MingLiU" w:cs="MingLiU"/>
      <w:sz w:val="26"/>
      <w:szCs w:val="26"/>
    </w:rPr>
  </w:style>
  <w:style w:type="character" w:customStyle="1" w:styleId="106">
    <w:name w:val="目录_"/>
    <w:link w:val="107"/>
    <w:qFormat/>
    <w:uiPriority w:val="0"/>
    <w:rPr>
      <w:rFonts w:ascii="MingLiU" w:hAnsi="MingLiU" w:eastAsia="MingLiU" w:cs="MingLiU"/>
      <w:szCs w:val="21"/>
      <w:shd w:val="clear" w:color="auto" w:fill="FFFFFF"/>
    </w:rPr>
  </w:style>
  <w:style w:type="paragraph" w:customStyle="1" w:styleId="107">
    <w:name w:val="目录"/>
    <w:basedOn w:val="1"/>
    <w:link w:val="106"/>
    <w:qFormat/>
    <w:uiPriority w:val="0"/>
    <w:pPr>
      <w:widowControl/>
      <w:shd w:val="clear" w:color="auto" w:fill="FFFFFF"/>
      <w:spacing w:before="360" w:line="278" w:lineRule="exact"/>
      <w:jc w:val="distribute"/>
    </w:pPr>
    <w:rPr>
      <w:rFonts w:ascii="MingLiU" w:hAnsi="MingLiU" w:eastAsia="MingLiU" w:cs="MingLiU"/>
      <w:szCs w:val="21"/>
    </w:rPr>
  </w:style>
  <w:style w:type="character" w:customStyle="1" w:styleId="108">
    <w:name w:val="目录 + Times New Roman"/>
    <w:qFormat/>
    <w:uiPriority w:val="0"/>
    <w:rPr>
      <w:rFonts w:ascii="Times New Roman" w:hAnsi="Times New Roman" w:eastAsia="Times New Roman" w:cs="Times New Roman"/>
      <w:i/>
      <w:iCs/>
      <w:color w:val="000000"/>
      <w:spacing w:val="0"/>
      <w:w w:val="100"/>
      <w:position w:val="0"/>
      <w:sz w:val="20"/>
      <w:szCs w:val="20"/>
      <w:shd w:val="clear" w:color="auto" w:fill="FFFFFF"/>
      <w:lang w:val="zh-TW" w:eastAsia="zh-TW" w:bidi="zh-TW"/>
    </w:rPr>
  </w:style>
  <w:style w:type="character" w:customStyle="1" w:styleId="109">
    <w:name w:val="页眉或页脚_"/>
    <w:qFormat/>
    <w:uiPriority w:val="0"/>
    <w:rPr>
      <w:rFonts w:ascii="Times New Roman" w:hAnsi="Times New Roman" w:eastAsia="Times New Roman" w:cs="Times New Roman"/>
      <w:b/>
      <w:bCs/>
      <w:sz w:val="16"/>
      <w:szCs w:val="16"/>
      <w:u w:val="none"/>
    </w:rPr>
  </w:style>
  <w:style w:type="character" w:customStyle="1" w:styleId="110">
    <w:name w:val="页眉或页脚"/>
    <w:qFormat/>
    <w:uiPriority w:val="0"/>
    <w:rPr>
      <w:rFonts w:ascii="Times New Roman" w:hAnsi="Times New Roman" w:eastAsia="Times New Roman" w:cs="Times New Roman"/>
      <w:b/>
      <w:bCs/>
      <w:color w:val="000000"/>
      <w:spacing w:val="0"/>
      <w:w w:val="100"/>
      <w:position w:val="0"/>
      <w:sz w:val="16"/>
      <w:szCs w:val="16"/>
      <w:u w:val="none"/>
      <w:lang w:val="zh-TW" w:eastAsia="zh-TW" w:bidi="zh-TW"/>
    </w:rPr>
  </w:style>
  <w:style w:type="character" w:customStyle="1" w:styleId="111">
    <w:name w:val="标题 #1_"/>
    <w:link w:val="112"/>
    <w:qFormat/>
    <w:uiPriority w:val="0"/>
    <w:rPr>
      <w:rFonts w:ascii="MingLiU" w:hAnsi="MingLiU" w:eastAsia="MingLiU" w:cs="MingLiU"/>
      <w:spacing w:val="-10"/>
      <w:sz w:val="44"/>
      <w:szCs w:val="44"/>
      <w:shd w:val="clear" w:color="auto" w:fill="FFFFFF"/>
    </w:rPr>
  </w:style>
  <w:style w:type="paragraph" w:customStyle="1" w:styleId="112">
    <w:name w:val="标题 #1"/>
    <w:basedOn w:val="1"/>
    <w:link w:val="111"/>
    <w:qFormat/>
    <w:uiPriority w:val="0"/>
    <w:pPr>
      <w:widowControl/>
      <w:shd w:val="clear" w:color="auto" w:fill="FFFFFF"/>
      <w:spacing w:after="540" w:line="0" w:lineRule="atLeast"/>
      <w:jc w:val="center"/>
      <w:outlineLvl w:val="0"/>
    </w:pPr>
    <w:rPr>
      <w:rFonts w:ascii="MingLiU" w:hAnsi="MingLiU" w:eastAsia="MingLiU" w:cs="MingLiU"/>
      <w:spacing w:val="-10"/>
      <w:sz w:val="44"/>
      <w:szCs w:val="44"/>
    </w:rPr>
  </w:style>
  <w:style w:type="character" w:customStyle="1" w:styleId="113">
    <w:name w:val="标题 #3_"/>
    <w:link w:val="114"/>
    <w:qFormat/>
    <w:uiPriority w:val="0"/>
    <w:rPr>
      <w:rFonts w:ascii="MingLiU" w:hAnsi="MingLiU" w:eastAsia="MingLiU" w:cs="MingLiU"/>
      <w:sz w:val="26"/>
      <w:szCs w:val="26"/>
      <w:shd w:val="clear" w:color="auto" w:fill="FFFFFF"/>
    </w:rPr>
  </w:style>
  <w:style w:type="paragraph" w:customStyle="1" w:styleId="114">
    <w:name w:val="标题 #3"/>
    <w:basedOn w:val="1"/>
    <w:link w:val="113"/>
    <w:qFormat/>
    <w:uiPriority w:val="0"/>
    <w:pPr>
      <w:widowControl/>
      <w:shd w:val="clear" w:color="auto" w:fill="FFFFFF"/>
      <w:spacing w:before="540" w:after="780" w:line="0" w:lineRule="atLeast"/>
      <w:jc w:val="left"/>
      <w:outlineLvl w:val="2"/>
    </w:pPr>
    <w:rPr>
      <w:rFonts w:ascii="MingLiU" w:hAnsi="MingLiU" w:eastAsia="MingLiU" w:cs="MingLiU"/>
      <w:sz w:val="26"/>
      <w:szCs w:val="26"/>
    </w:rPr>
  </w:style>
  <w:style w:type="character" w:customStyle="1" w:styleId="115">
    <w:name w:val="标题 #2_"/>
    <w:link w:val="116"/>
    <w:qFormat/>
    <w:uiPriority w:val="0"/>
    <w:rPr>
      <w:rFonts w:ascii="MingLiU" w:hAnsi="MingLiU" w:eastAsia="MingLiU" w:cs="MingLiU"/>
      <w:spacing w:val="-10"/>
      <w:sz w:val="32"/>
      <w:szCs w:val="32"/>
      <w:shd w:val="clear" w:color="auto" w:fill="FFFFFF"/>
    </w:rPr>
  </w:style>
  <w:style w:type="paragraph" w:customStyle="1" w:styleId="116">
    <w:name w:val="标题 #2"/>
    <w:basedOn w:val="1"/>
    <w:link w:val="115"/>
    <w:qFormat/>
    <w:uiPriority w:val="0"/>
    <w:pPr>
      <w:widowControl/>
      <w:shd w:val="clear" w:color="auto" w:fill="FFFFFF"/>
      <w:spacing w:before="780" w:after="420" w:line="0" w:lineRule="atLeast"/>
      <w:jc w:val="distribute"/>
      <w:outlineLvl w:val="1"/>
    </w:pPr>
    <w:rPr>
      <w:rFonts w:ascii="MingLiU" w:hAnsi="MingLiU" w:eastAsia="MingLiU" w:cs="MingLiU"/>
      <w:spacing w:val="-10"/>
      <w:sz w:val="32"/>
      <w:szCs w:val="32"/>
    </w:rPr>
  </w:style>
  <w:style w:type="character" w:customStyle="1" w:styleId="117">
    <w:name w:val="正文文本 (2) + 10 pt"/>
    <w:qFormat/>
    <w:uiPriority w:val="0"/>
    <w:rPr>
      <w:rFonts w:ascii="MingLiU" w:hAnsi="MingLiU" w:eastAsia="MingLiU" w:cs="MingLiU"/>
      <w:color w:val="000000"/>
      <w:spacing w:val="0"/>
      <w:w w:val="100"/>
      <w:position w:val="0"/>
      <w:sz w:val="20"/>
      <w:szCs w:val="20"/>
      <w:u w:val="none"/>
      <w:lang w:val="zh-TW" w:eastAsia="zh-TW" w:bidi="zh-TW"/>
    </w:rPr>
  </w:style>
  <w:style w:type="character" w:customStyle="1" w:styleId="118">
    <w:name w:val="正文文本 (2) + 间距 -1 pt"/>
    <w:qFormat/>
    <w:uiPriority w:val="0"/>
    <w:rPr>
      <w:rFonts w:ascii="MingLiU" w:hAnsi="MingLiU" w:eastAsia="MingLiU" w:cs="MingLiU"/>
      <w:color w:val="000000"/>
      <w:spacing w:val="-20"/>
      <w:w w:val="100"/>
      <w:position w:val="0"/>
      <w:sz w:val="21"/>
      <w:szCs w:val="21"/>
      <w:u w:val="none"/>
      <w:lang w:val="zh-TW" w:eastAsia="zh-TW" w:bidi="zh-TW"/>
    </w:rPr>
  </w:style>
  <w:style w:type="character" w:customStyle="1" w:styleId="119">
    <w:name w:val="正文文本 (7)_"/>
    <w:link w:val="120"/>
    <w:qFormat/>
    <w:uiPriority w:val="0"/>
    <w:rPr>
      <w:rFonts w:ascii="MingLiU" w:hAnsi="MingLiU" w:eastAsia="MingLiU" w:cs="MingLiU"/>
      <w:spacing w:val="-10"/>
      <w:sz w:val="32"/>
      <w:szCs w:val="32"/>
      <w:shd w:val="clear" w:color="auto" w:fill="FFFFFF"/>
    </w:rPr>
  </w:style>
  <w:style w:type="paragraph" w:customStyle="1" w:styleId="120">
    <w:name w:val="正文文本 (7)"/>
    <w:basedOn w:val="1"/>
    <w:link w:val="119"/>
    <w:qFormat/>
    <w:uiPriority w:val="0"/>
    <w:pPr>
      <w:widowControl/>
      <w:shd w:val="clear" w:color="auto" w:fill="FFFFFF"/>
      <w:spacing w:before="180" w:after="660" w:line="0" w:lineRule="atLeast"/>
      <w:jc w:val="left"/>
    </w:pPr>
    <w:rPr>
      <w:rFonts w:ascii="MingLiU" w:hAnsi="MingLiU" w:eastAsia="MingLiU" w:cs="MingLiU"/>
      <w:spacing w:val="-10"/>
      <w:sz w:val="32"/>
      <w:szCs w:val="32"/>
    </w:rPr>
  </w:style>
  <w:style w:type="character" w:customStyle="1" w:styleId="121">
    <w:name w:val="正文文本 (2) + 间距 1 pt"/>
    <w:qFormat/>
    <w:uiPriority w:val="0"/>
    <w:rPr>
      <w:rFonts w:ascii="MingLiU" w:hAnsi="MingLiU" w:eastAsia="MingLiU" w:cs="MingLiU"/>
      <w:color w:val="000000"/>
      <w:spacing w:val="30"/>
      <w:w w:val="100"/>
      <w:position w:val="0"/>
      <w:sz w:val="21"/>
      <w:szCs w:val="21"/>
      <w:u w:val="none"/>
      <w:lang w:val="zh-TW" w:eastAsia="zh-TW" w:bidi="zh-TW"/>
    </w:rPr>
  </w:style>
  <w:style w:type="character" w:customStyle="1" w:styleId="122">
    <w:name w:val="标题 #3 + Times New Roman"/>
    <w:qFormat/>
    <w:uiPriority w:val="0"/>
    <w:rPr>
      <w:rFonts w:ascii="Times New Roman" w:hAnsi="Times New Roman" w:eastAsia="Times New Roman" w:cs="Times New Roman"/>
      <w:color w:val="000000"/>
      <w:spacing w:val="0"/>
      <w:w w:val="100"/>
      <w:position w:val="0"/>
      <w:sz w:val="28"/>
      <w:szCs w:val="28"/>
      <w:u w:val="none"/>
      <w:shd w:val="clear" w:color="auto" w:fill="FFFFFF"/>
      <w:lang w:val="en-US" w:eastAsia="en-US" w:bidi="en-US"/>
    </w:rPr>
  </w:style>
  <w:style w:type="character" w:customStyle="1" w:styleId="123">
    <w:name w:val="正文文本 (2) Exact"/>
    <w:qFormat/>
    <w:uiPriority w:val="0"/>
    <w:rPr>
      <w:rFonts w:ascii="MingLiU" w:hAnsi="MingLiU" w:eastAsia="MingLiU" w:cs="MingLiU"/>
      <w:sz w:val="21"/>
      <w:szCs w:val="21"/>
      <w:u w:val="none"/>
    </w:rPr>
  </w:style>
  <w:style w:type="character" w:customStyle="1" w:styleId="124">
    <w:name w:val="正文文本 (2) + 8.5 pt"/>
    <w:qFormat/>
    <w:uiPriority w:val="0"/>
    <w:rPr>
      <w:rFonts w:ascii="MingLiU" w:hAnsi="MingLiU" w:eastAsia="MingLiU" w:cs="MingLiU"/>
      <w:color w:val="000000"/>
      <w:spacing w:val="0"/>
      <w:w w:val="100"/>
      <w:position w:val="0"/>
      <w:sz w:val="17"/>
      <w:szCs w:val="17"/>
      <w:u w:val="none"/>
      <w:lang w:val="zh-TW" w:eastAsia="zh-TW" w:bidi="zh-TW"/>
    </w:rPr>
  </w:style>
  <w:style w:type="character" w:customStyle="1" w:styleId="125">
    <w:name w:val="标题 #2 + 间距 0 pt"/>
    <w:qFormat/>
    <w:uiPriority w:val="0"/>
    <w:rPr>
      <w:rFonts w:ascii="MingLiU" w:hAnsi="MingLiU" w:eastAsia="MingLiU" w:cs="MingLiU"/>
      <w:color w:val="000000"/>
      <w:spacing w:val="0"/>
      <w:w w:val="100"/>
      <w:position w:val="0"/>
      <w:sz w:val="32"/>
      <w:szCs w:val="32"/>
      <w:u w:val="none"/>
      <w:shd w:val="clear" w:color="auto" w:fill="FFFFFF"/>
      <w:lang w:val="zh-TW" w:eastAsia="zh-TW" w:bidi="zh-TW"/>
    </w:rPr>
  </w:style>
  <w:style w:type="character" w:customStyle="1" w:styleId="126">
    <w:name w:val="正文文本 (8)_"/>
    <w:link w:val="127"/>
    <w:qFormat/>
    <w:uiPriority w:val="0"/>
    <w:rPr>
      <w:rFonts w:ascii="MingLiU" w:hAnsi="MingLiU" w:eastAsia="MingLiU" w:cs="MingLiU"/>
      <w:i/>
      <w:iCs/>
      <w:sz w:val="32"/>
      <w:szCs w:val="32"/>
      <w:shd w:val="clear" w:color="auto" w:fill="FFFFFF"/>
    </w:rPr>
  </w:style>
  <w:style w:type="paragraph" w:customStyle="1" w:styleId="127">
    <w:name w:val="正文文本 (8)"/>
    <w:basedOn w:val="1"/>
    <w:link w:val="126"/>
    <w:qFormat/>
    <w:uiPriority w:val="0"/>
    <w:pPr>
      <w:widowControl/>
      <w:shd w:val="clear" w:color="auto" w:fill="FFFFFF"/>
      <w:spacing w:before="300" w:after="660" w:line="0" w:lineRule="atLeast"/>
      <w:jc w:val="left"/>
    </w:pPr>
    <w:rPr>
      <w:rFonts w:ascii="MingLiU" w:hAnsi="MingLiU" w:eastAsia="MingLiU" w:cs="MingLiU"/>
      <w:i/>
      <w:iCs/>
      <w:sz w:val="32"/>
      <w:szCs w:val="32"/>
    </w:rPr>
  </w:style>
  <w:style w:type="character" w:customStyle="1" w:styleId="128">
    <w:name w:val="正文文本 (6) Exact"/>
    <w:qFormat/>
    <w:uiPriority w:val="0"/>
    <w:rPr>
      <w:rFonts w:ascii="MingLiU" w:hAnsi="MingLiU" w:eastAsia="MingLiU" w:cs="MingLiU"/>
      <w:sz w:val="26"/>
      <w:szCs w:val="26"/>
      <w:u w:val="none"/>
    </w:rPr>
  </w:style>
  <w:style w:type="character" w:customStyle="1" w:styleId="129">
    <w:name w:val="正文文本 (4) + 间距 11 pt"/>
    <w:qFormat/>
    <w:uiPriority w:val="0"/>
    <w:rPr>
      <w:rFonts w:ascii="MingLiU" w:hAnsi="MingLiU" w:eastAsia="MingLiU" w:cs="MingLiU"/>
      <w:color w:val="000000"/>
      <w:spacing w:val="220"/>
      <w:w w:val="100"/>
      <w:position w:val="0"/>
      <w:sz w:val="44"/>
      <w:szCs w:val="44"/>
      <w:u w:val="none"/>
      <w:lang w:val="zh-TW" w:eastAsia="zh-TW" w:bidi="zh-TW"/>
    </w:rPr>
  </w:style>
  <w:style w:type="character" w:customStyle="1" w:styleId="130">
    <w:name w:val="正文文本 (6) + 间距 -1 pt"/>
    <w:qFormat/>
    <w:uiPriority w:val="0"/>
    <w:rPr>
      <w:rFonts w:ascii="MingLiU" w:hAnsi="MingLiU" w:eastAsia="MingLiU" w:cs="MingLiU"/>
      <w:color w:val="000000"/>
      <w:spacing w:val="-20"/>
      <w:w w:val="100"/>
      <w:position w:val="0"/>
      <w:sz w:val="26"/>
      <w:szCs w:val="26"/>
      <w:u w:val="none"/>
      <w:lang w:val="zh-TW" w:eastAsia="zh-TW" w:bidi="zh-TW"/>
    </w:rPr>
  </w:style>
  <w:style w:type="character" w:customStyle="1" w:styleId="131">
    <w:name w:val="正文文本 (7) + 间距 0 pt"/>
    <w:qFormat/>
    <w:uiPriority w:val="0"/>
    <w:rPr>
      <w:rFonts w:ascii="MingLiU" w:hAnsi="MingLiU" w:eastAsia="MingLiU" w:cs="MingLiU"/>
      <w:color w:val="000000"/>
      <w:spacing w:val="0"/>
      <w:w w:val="100"/>
      <w:position w:val="0"/>
      <w:sz w:val="32"/>
      <w:szCs w:val="32"/>
      <w:u w:val="none"/>
      <w:shd w:val="clear" w:color="auto" w:fill="FFFFFF"/>
      <w:lang w:val="zh-TW" w:eastAsia="zh-TW" w:bidi="zh-TW"/>
    </w:rPr>
  </w:style>
  <w:style w:type="character" w:customStyle="1" w:styleId="132">
    <w:name w:val="正文文本 (2) + 间距 0 pt"/>
    <w:qFormat/>
    <w:uiPriority w:val="0"/>
    <w:rPr>
      <w:rFonts w:ascii="MingLiU" w:hAnsi="MingLiU" w:eastAsia="MingLiU" w:cs="MingLiU"/>
      <w:color w:val="000000"/>
      <w:spacing w:val="-10"/>
      <w:w w:val="100"/>
      <w:position w:val="0"/>
      <w:sz w:val="21"/>
      <w:szCs w:val="21"/>
      <w:u w:val="none"/>
      <w:lang w:val="zh-TW" w:eastAsia="zh-TW" w:bidi="zh-TW"/>
    </w:rPr>
  </w:style>
  <w:style w:type="character" w:customStyle="1" w:styleId="133">
    <w:name w:val="正文文本 (2) + 间距 2 pt"/>
    <w:qFormat/>
    <w:uiPriority w:val="0"/>
    <w:rPr>
      <w:rFonts w:ascii="MingLiU" w:hAnsi="MingLiU" w:eastAsia="MingLiU" w:cs="MingLiU"/>
      <w:color w:val="000000"/>
      <w:spacing w:val="50"/>
      <w:w w:val="100"/>
      <w:position w:val="0"/>
      <w:sz w:val="21"/>
      <w:szCs w:val="21"/>
      <w:u w:val="none"/>
      <w:lang w:val="zh-TW" w:eastAsia="zh-TW" w:bidi="zh-TW"/>
    </w:rPr>
  </w:style>
  <w:style w:type="character" w:customStyle="1" w:styleId="134">
    <w:name w:val="正文文本 (2) + 间距 6 pt"/>
    <w:qFormat/>
    <w:uiPriority w:val="0"/>
    <w:rPr>
      <w:rFonts w:ascii="MingLiU" w:hAnsi="MingLiU" w:eastAsia="MingLiU" w:cs="MingLiU"/>
      <w:color w:val="000000"/>
      <w:spacing w:val="120"/>
      <w:w w:val="100"/>
      <w:position w:val="0"/>
      <w:sz w:val="21"/>
      <w:szCs w:val="21"/>
      <w:u w:val="none"/>
      <w:lang w:val="zh-TW" w:eastAsia="zh-TW" w:bidi="zh-TW"/>
    </w:rPr>
  </w:style>
  <w:style w:type="character" w:customStyle="1" w:styleId="135">
    <w:name w:val="表格标题_"/>
    <w:link w:val="136"/>
    <w:qFormat/>
    <w:uiPriority w:val="0"/>
    <w:rPr>
      <w:rFonts w:ascii="MingLiU" w:hAnsi="MingLiU" w:eastAsia="MingLiU" w:cs="MingLiU"/>
      <w:szCs w:val="21"/>
      <w:shd w:val="clear" w:color="auto" w:fill="FFFFFF"/>
    </w:rPr>
  </w:style>
  <w:style w:type="paragraph" w:customStyle="1" w:styleId="136">
    <w:name w:val="表格标题"/>
    <w:basedOn w:val="1"/>
    <w:link w:val="135"/>
    <w:qFormat/>
    <w:uiPriority w:val="0"/>
    <w:pPr>
      <w:widowControl/>
      <w:shd w:val="clear" w:color="auto" w:fill="FFFFFF"/>
      <w:spacing w:line="0" w:lineRule="atLeast"/>
      <w:jc w:val="left"/>
    </w:pPr>
    <w:rPr>
      <w:rFonts w:ascii="MingLiU" w:hAnsi="MingLiU" w:eastAsia="MingLiU" w:cs="MingLiU"/>
      <w:szCs w:val="21"/>
    </w:rPr>
  </w:style>
  <w:style w:type="character" w:customStyle="1" w:styleId="137">
    <w:name w:val="正文文本 (9) Exact"/>
    <w:link w:val="138"/>
    <w:qFormat/>
    <w:uiPriority w:val="0"/>
    <w:rPr>
      <w:rFonts w:ascii="MingLiU" w:hAnsi="MingLiU" w:eastAsia="MingLiU" w:cs="MingLiU"/>
      <w:spacing w:val="-90"/>
      <w:sz w:val="44"/>
      <w:szCs w:val="44"/>
      <w:shd w:val="clear" w:color="auto" w:fill="FFFFFF"/>
      <w:lang w:eastAsia="en-US" w:bidi="en-US"/>
    </w:rPr>
  </w:style>
  <w:style w:type="paragraph" w:customStyle="1" w:styleId="138">
    <w:name w:val="正文文本 (9)"/>
    <w:basedOn w:val="1"/>
    <w:link w:val="137"/>
    <w:qFormat/>
    <w:uiPriority w:val="0"/>
    <w:pPr>
      <w:widowControl/>
      <w:shd w:val="clear" w:color="auto" w:fill="FFFFFF"/>
      <w:spacing w:after="720" w:line="0" w:lineRule="atLeast"/>
      <w:jc w:val="right"/>
    </w:pPr>
    <w:rPr>
      <w:rFonts w:ascii="MingLiU" w:hAnsi="MingLiU" w:eastAsia="MingLiU" w:cs="MingLiU"/>
      <w:spacing w:val="-90"/>
      <w:sz w:val="44"/>
      <w:szCs w:val="44"/>
      <w:lang w:eastAsia="en-US" w:bidi="en-US"/>
    </w:rPr>
  </w:style>
  <w:style w:type="character" w:customStyle="1" w:styleId="139">
    <w:name w:val="正文文本 (10) Exact"/>
    <w:link w:val="140"/>
    <w:qFormat/>
    <w:uiPriority w:val="0"/>
    <w:rPr>
      <w:rFonts w:ascii="MingLiU" w:hAnsi="MingLiU" w:eastAsia="MingLiU" w:cs="MingLiU"/>
      <w:spacing w:val="-40"/>
      <w:sz w:val="28"/>
      <w:szCs w:val="28"/>
      <w:shd w:val="clear" w:color="auto" w:fill="FFFFFF"/>
      <w:lang w:eastAsia="en-US" w:bidi="en-US"/>
    </w:rPr>
  </w:style>
  <w:style w:type="paragraph" w:customStyle="1" w:styleId="140">
    <w:name w:val="正文文本 (10)"/>
    <w:basedOn w:val="1"/>
    <w:link w:val="139"/>
    <w:qFormat/>
    <w:uiPriority w:val="0"/>
    <w:pPr>
      <w:widowControl/>
      <w:shd w:val="clear" w:color="auto" w:fill="FFFFFF"/>
      <w:spacing w:before="720" w:line="0" w:lineRule="atLeast"/>
      <w:jc w:val="left"/>
    </w:pPr>
    <w:rPr>
      <w:rFonts w:ascii="MingLiU" w:hAnsi="MingLiU" w:eastAsia="MingLiU" w:cs="MingLiU"/>
      <w:spacing w:val="-40"/>
      <w:sz w:val="28"/>
      <w:szCs w:val="28"/>
      <w:lang w:eastAsia="en-US" w:bidi="en-US"/>
    </w:rPr>
  </w:style>
  <w:style w:type="paragraph" w:customStyle="1" w:styleId="141">
    <w:name w:val="Default"/>
    <w:qFormat/>
    <w:uiPriority w:val="0"/>
    <w:pPr>
      <w:widowControl w:val="0"/>
      <w:autoSpaceDE w:val="0"/>
      <w:autoSpaceDN w:val="0"/>
      <w:adjustRightInd w:val="0"/>
    </w:pPr>
    <w:rPr>
      <w:rFonts w:ascii="黑体" w:hAnsi="黑体" w:eastAsia="宋体" w:cs="黑体"/>
      <w:color w:val="000000"/>
      <w:sz w:val="24"/>
      <w:szCs w:val="24"/>
      <w:lang w:val="en-US" w:eastAsia="zh-TW" w:bidi="ar-SA"/>
    </w:rPr>
  </w:style>
  <w:style w:type="character" w:customStyle="1" w:styleId="142">
    <w:name w:val="标题 Char"/>
    <w:qFormat/>
    <w:uiPriority w:val="0"/>
    <w:rPr>
      <w:rFonts w:ascii="Cambria" w:hAnsi="Cambria" w:eastAsia="宋体" w:cs="Times New Roman"/>
      <w:b/>
      <w:bCs/>
      <w:sz w:val="32"/>
      <w:szCs w:val="32"/>
    </w:rPr>
  </w:style>
  <w:style w:type="paragraph" w:customStyle="1" w:styleId="143">
    <w:name w:val="p0"/>
    <w:basedOn w:val="1"/>
    <w:qFormat/>
    <w:uiPriority w:val="0"/>
    <w:pPr>
      <w:widowControl/>
      <w:jc w:val="left"/>
    </w:pPr>
    <w:rPr>
      <w:rFonts w:ascii="Times New Roman" w:hAnsi="Times New Roman" w:eastAsia="宋体"/>
      <w:kern w:val="0"/>
      <w:sz w:val="20"/>
      <w:szCs w:val="21"/>
    </w:rPr>
  </w:style>
  <w:style w:type="character" w:customStyle="1" w:styleId="144">
    <w:name w:val="标题 2 字符1"/>
    <w:link w:val="3"/>
    <w:qFormat/>
    <w:uiPriority w:val="0"/>
    <w:rPr>
      <w:rFonts w:ascii="Arial" w:hAnsi="Arial" w:eastAsia="黑体" w:cs="Times New Roman"/>
      <w:b/>
      <w:bCs/>
      <w:kern w:val="0"/>
      <w:sz w:val="32"/>
      <w:szCs w:val="32"/>
    </w:rPr>
  </w:style>
  <w:style w:type="character" w:customStyle="1" w:styleId="145">
    <w:name w:val="正文文本 (6) + 间距 2 pt Exact"/>
    <w:qFormat/>
    <w:uiPriority w:val="0"/>
    <w:rPr>
      <w:rFonts w:ascii="MingLiU" w:hAnsi="MingLiU" w:eastAsia="MingLiU" w:cs="MingLiU"/>
      <w:spacing w:val="40"/>
      <w:sz w:val="28"/>
      <w:szCs w:val="28"/>
      <w:u w:val="none"/>
      <w:shd w:val="clear" w:color="auto" w:fill="FFFFFF"/>
    </w:rPr>
  </w:style>
  <w:style w:type="character" w:customStyle="1" w:styleId="146">
    <w:name w:val="正文文本 (3) + 间距 3 pt"/>
    <w:qFormat/>
    <w:uiPriority w:val="0"/>
    <w:rPr>
      <w:rFonts w:ascii="MingLiU" w:hAnsi="MingLiU" w:eastAsia="MingLiU" w:cs="MingLiU"/>
      <w:color w:val="000000"/>
      <w:spacing w:val="70"/>
      <w:w w:val="100"/>
      <w:position w:val="0"/>
      <w:sz w:val="44"/>
      <w:szCs w:val="44"/>
      <w:u w:val="none"/>
      <w:shd w:val="clear" w:color="auto" w:fill="FFFFFF"/>
      <w:lang w:val="zh-CN" w:eastAsia="zh-CN" w:bidi="zh-CN"/>
    </w:rPr>
  </w:style>
  <w:style w:type="character" w:customStyle="1" w:styleId="147">
    <w:name w:val="TOC 1 字符"/>
    <w:link w:val="32"/>
    <w:qFormat/>
    <w:uiPriority w:val="0"/>
    <w:rPr>
      <w:rFonts w:ascii="仿宋" w:hAnsi="仿宋" w:eastAsia="仿宋" w:cs="MingLiU"/>
      <w:color w:val="000000"/>
    </w:rPr>
  </w:style>
  <w:style w:type="character" w:customStyle="1" w:styleId="148">
    <w:name w:val="目录 (2)_"/>
    <w:link w:val="149"/>
    <w:qFormat/>
    <w:uiPriority w:val="0"/>
    <w:rPr>
      <w:rFonts w:ascii="MingLiU" w:hAnsi="MingLiU" w:eastAsia="MingLiU" w:cs="MingLiU"/>
      <w:sz w:val="32"/>
      <w:szCs w:val="32"/>
      <w:shd w:val="clear" w:color="auto" w:fill="FFFFFF"/>
    </w:rPr>
  </w:style>
  <w:style w:type="paragraph" w:customStyle="1" w:styleId="149">
    <w:name w:val="目录 (2)"/>
    <w:basedOn w:val="1"/>
    <w:link w:val="148"/>
    <w:qFormat/>
    <w:uiPriority w:val="0"/>
    <w:pPr>
      <w:shd w:val="clear" w:color="auto" w:fill="FFFFFF"/>
      <w:spacing w:before="300" w:after="300" w:line="320" w:lineRule="exact"/>
      <w:jc w:val="left"/>
    </w:pPr>
    <w:rPr>
      <w:rFonts w:ascii="MingLiU" w:hAnsi="MingLiU" w:eastAsia="MingLiU" w:cs="MingLiU"/>
      <w:sz w:val="32"/>
      <w:szCs w:val="32"/>
    </w:rPr>
  </w:style>
  <w:style w:type="character" w:customStyle="1" w:styleId="150">
    <w:name w:val="目录 + 间距 1 pt"/>
    <w:qFormat/>
    <w:uiPriority w:val="0"/>
    <w:rPr>
      <w:rFonts w:ascii="仿宋" w:hAnsi="仿宋" w:eastAsia="仿宋" w:cs="MingLiU"/>
      <w:color w:val="000000"/>
      <w:spacing w:val="30"/>
      <w:w w:val="100"/>
      <w:position w:val="0"/>
      <w:sz w:val="20"/>
      <w:szCs w:val="20"/>
      <w:lang w:val="zh-CN" w:eastAsia="zh-CN" w:bidi="zh-CN"/>
    </w:rPr>
  </w:style>
  <w:style w:type="character" w:customStyle="1" w:styleId="151">
    <w:name w:val="标题 #2 (2)_"/>
    <w:link w:val="152"/>
    <w:qFormat/>
    <w:uiPriority w:val="0"/>
    <w:rPr>
      <w:rFonts w:ascii="MingLiU" w:hAnsi="MingLiU" w:eastAsia="MingLiU" w:cs="MingLiU"/>
      <w:sz w:val="28"/>
      <w:szCs w:val="28"/>
      <w:shd w:val="clear" w:color="auto" w:fill="FFFFFF"/>
    </w:rPr>
  </w:style>
  <w:style w:type="paragraph" w:customStyle="1" w:styleId="152">
    <w:name w:val="标题 #2 (2)"/>
    <w:basedOn w:val="1"/>
    <w:link w:val="151"/>
    <w:qFormat/>
    <w:uiPriority w:val="0"/>
    <w:pPr>
      <w:shd w:val="clear" w:color="auto" w:fill="FFFFFF"/>
      <w:spacing w:before="300" w:after="640" w:line="280" w:lineRule="exact"/>
      <w:jc w:val="left"/>
      <w:outlineLvl w:val="1"/>
    </w:pPr>
    <w:rPr>
      <w:rFonts w:ascii="MingLiU" w:hAnsi="MingLiU" w:eastAsia="MingLiU" w:cs="MingLiU"/>
      <w:sz w:val="28"/>
      <w:szCs w:val="28"/>
    </w:rPr>
  </w:style>
  <w:style w:type="character" w:customStyle="1" w:styleId="153">
    <w:name w:val="正文文本 (9)_"/>
    <w:qFormat/>
    <w:uiPriority w:val="0"/>
    <w:rPr>
      <w:rFonts w:ascii="MingLiU" w:hAnsi="MingLiU" w:eastAsia="MingLiU" w:cs="MingLiU"/>
      <w:i/>
      <w:iCs/>
      <w:sz w:val="32"/>
      <w:szCs w:val="32"/>
      <w:u w:val="none"/>
    </w:rPr>
  </w:style>
  <w:style w:type="character" w:customStyle="1" w:styleId="154">
    <w:name w:val="正文文本 (10)_"/>
    <w:qFormat/>
    <w:uiPriority w:val="0"/>
    <w:rPr>
      <w:rFonts w:ascii="MingLiU" w:hAnsi="MingLiU" w:eastAsia="MingLiU" w:cs="MingLiU"/>
      <w:sz w:val="32"/>
      <w:szCs w:val="32"/>
      <w:u w:val="none"/>
    </w:rPr>
  </w:style>
  <w:style w:type="character" w:customStyle="1" w:styleId="155">
    <w:name w:val="正文文本 (7) Exact"/>
    <w:qFormat/>
    <w:uiPriority w:val="0"/>
    <w:rPr>
      <w:rFonts w:ascii="MingLiU" w:hAnsi="MingLiU" w:eastAsia="MingLiU" w:cs="MingLiU"/>
      <w:sz w:val="28"/>
      <w:szCs w:val="28"/>
      <w:u w:val="none"/>
    </w:rPr>
  </w:style>
  <w:style w:type="character" w:customStyle="1" w:styleId="156">
    <w:name w:val="标题 #1 + 间距 11 pt"/>
    <w:qFormat/>
    <w:uiPriority w:val="0"/>
    <w:rPr>
      <w:rFonts w:ascii="MingLiU" w:hAnsi="MingLiU" w:eastAsia="MingLiU" w:cs="MingLiU"/>
      <w:color w:val="000000"/>
      <w:spacing w:val="230"/>
      <w:w w:val="100"/>
      <w:position w:val="0"/>
      <w:sz w:val="44"/>
      <w:szCs w:val="44"/>
      <w:u w:val="none"/>
      <w:shd w:val="clear" w:color="auto" w:fill="FFFFFF"/>
      <w:lang w:val="zh-CN" w:eastAsia="zh-CN" w:bidi="zh-CN"/>
    </w:rPr>
  </w:style>
  <w:style w:type="character" w:customStyle="1" w:styleId="157">
    <w:name w:val="正文文本 3 Char"/>
    <w:basedOn w:val="49"/>
    <w:qFormat/>
    <w:uiPriority w:val="0"/>
    <w:rPr>
      <w:rFonts w:ascii="等线" w:hAnsi="等线" w:eastAsia="等线" w:cs="Times New Roman"/>
      <w:sz w:val="16"/>
      <w:szCs w:val="16"/>
    </w:rPr>
  </w:style>
  <w:style w:type="character" w:customStyle="1" w:styleId="158">
    <w:name w:val="正文文本 3 字符"/>
    <w:semiHidden/>
    <w:qFormat/>
    <w:uiPriority w:val="99"/>
    <w:rPr>
      <w:sz w:val="16"/>
      <w:szCs w:val="16"/>
    </w:rPr>
  </w:style>
  <w:style w:type="character" w:customStyle="1" w:styleId="159">
    <w:name w:val="正文文本 3 字符1"/>
    <w:link w:val="17"/>
    <w:qFormat/>
    <w:uiPriority w:val="0"/>
    <w:rPr>
      <w:rFonts w:ascii="宋体" w:hAnsi="Times New Roman" w:eastAsia="宋体" w:cs="Times New Roman"/>
      <w:kern w:val="0"/>
      <w:sz w:val="24"/>
      <w:szCs w:val="20"/>
    </w:rPr>
  </w:style>
  <w:style w:type="character" w:customStyle="1" w:styleId="160">
    <w:name w:val="标题 3 字符1"/>
    <w:link w:val="4"/>
    <w:qFormat/>
    <w:uiPriority w:val="0"/>
    <w:rPr>
      <w:rFonts w:ascii="黑体" w:hAnsi="宋体" w:eastAsia="黑体" w:cs="Times New Roman"/>
      <w:bCs/>
      <w:kern w:val="0"/>
      <w:sz w:val="28"/>
      <w:szCs w:val="28"/>
    </w:rPr>
  </w:style>
  <w:style w:type="paragraph" w:customStyle="1" w:styleId="161">
    <w:name w:val="样式 标题 2 + Times New Roman 四号 非加粗 段前: 5 磅 段后: 0 磅 行距: 固定值 20..."/>
    <w:basedOn w:val="3"/>
    <w:link w:val="207"/>
    <w:qFormat/>
    <w:uiPriority w:val="0"/>
    <w:pPr>
      <w:spacing w:before="100" w:after="0" w:line="400" w:lineRule="exact"/>
    </w:pPr>
    <w:rPr>
      <w:rFonts w:ascii="Times New Roman" w:hAnsi="Times New Roman"/>
      <w:b w:val="0"/>
      <w:bCs w:val="0"/>
      <w:sz w:val="28"/>
      <w:szCs w:val="20"/>
    </w:rPr>
  </w:style>
  <w:style w:type="character" w:customStyle="1" w:styleId="162">
    <w:name w:val="标题 6 字符1"/>
    <w:link w:val="7"/>
    <w:qFormat/>
    <w:uiPriority w:val="0"/>
    <w:rPr>
      <w:rFonts w:ascii="Arial" w:hAnsi="Arial" w:eastAsia="黑体" w:cs="Times New Roman"/>
      <w:b/>
      <w:bCs/>
      <w:kern w:val="0"/>
      <w:sz w:val="24"/>
      <w:szCs w:val="24"/>
    </w:rPr>
  </w:style>
  <w:style w:type="character" w:customStyle="1" w:styleId="163">
    <w:name w:val="标题 7 字符1"/>
    <w:link w:val="8"/>
    <w:qFormat/>
    <w:uiPriority w:val="0"/>
    <w:rPr>
      <w:rFonts w:ascii="Times New Roman" w:hAnsi="Times New Roman" w:eastAsia="宋体" w:cs="Times New Roman"/>
      <w:b/>
      <w:bCs/>
      <w:kern w:val="0"/>
      <w:sz w:val="24"/>
      <w:szCs w:val="24"/>
    </w:rPr>
  </w:style>
  <w:style w:type="character" w:customStyle="1" w:styleId="164">
    <w:name w:val="标题 8 字符1"/>
    <w:link w:val="9"/>
    <w:qFormat/>
    <w:uiPriority w:val="0"/>
    <w:rPr>
      <w:rFonts w:ascii="Arial" w:hAnsi="Arial" w:eastAsia="黑体" w:cs="Times New Roman"/>
      <w:kern w:val="0"/>
      <w:sz w:val="24"/>
      <w:szCs w:val="24"/>
    </w:rPr>
  </w:style>
  <w:style w:type="character" w:customStyle="1" w:styleId="165">
    <w:name w:val="标题 9 字符1"/>
    <w:link w:val="10"/>
    <w:qFormat/>
    <w:uiPriority w:val="0"/>
    <w:rPr>
      <w:rFonts w:ascii="Arial" w:hAnsi="Arial" w:eastAsia="黑体" w:cs="Times New Roman"/>
      <w:kern w:val="0"/>
      <w:sz w:val="20"/>
      <w:szCs w:val="21"/>
    </w:rPr>
  </w:style>
  <w:style w:type="character" w:customStyle="1" w:styleId="166">
    <w:name w:val="正文文本 字符"/>
    <w:qFormat/>
    <w:uiPriority w:val="0"/>
    <w:rPr>
      <w:rFonts w:eastAsia="宋体"/>
      <w:kern w:val="2"/>
      <w:sz w:val="21"/>
      <w:szCs w:val="24"/>
      <w:lang w:val="en-US" w:eastAsia="zh-CN" w:bidi="ar-SA"/>
    </w:rPr>
  </w:style>
  <w:style w:type="character" w:customStyle="1" w:styleId="167">
    <w:name w:val="批注主题 Char1"/>
    <w:qFormat/>
    <w:uiPriority w:val="0"/>
    <w:rPr>
      <w:b/>
      <w:bCs/>
      <w:szCs w:val="24"/>
    </w:rPr>
  </w:style>
  <w:style w:type="character" w:customStyle="1" w:styleId="168">
    <w:name w:val="正文首行缩进 Char1"/>
    <w:qFormat/>
    <w:uiPriority w:val="0"/>
    <w:rPr>
      <w:rFonts w:ascii="Calibri" w:hAnsi="Calibri" w:eastAsia="宋体" w:cs="Times New Roman"/>
      <w:szCs w:val="24"/>
    </w:rPr>
  </w:style>
  <w:style w:type="character" w:customStyle="1" w:styleId="169">
    <w:name w:val="批注文字 Char1"/>
    <w:qFormat/>
    <w:uiPriority w:val="99"/>
    <w:rPr>
      <w:szCs w:val="24"/>
    </w:rPr>
  </w:style>
  <w:style w:type="character" w:customStyle="1" w:styleId="170">
    <w:name w:val="font161"/>
    <w:qFormat/>
    <w:uiPriority w:val="0"/>
    <w:rPr>
      <w:b/>
      <w:bCs/>
      <w:sz w:val="32"/>
      <w:szCs w:val="32"/>
    </w:rPr>
  </w:style>
  <w:style w:type="character" w:customStyle="1" w:styleId="171">
    <w:name w:val="文档结构图 Char1"/>
    <w:qFormat/>
    <w:uiPriority w:val="0"/>
    <w:rPr>
      <w:szCs w:val="24"/>
      <w:shd w:val="clear" w:color="auto" w:fill="000080"/>
    </w:rPr>
  </w:style>
  <w:style w:type="character" w:customStyle="1" w:styleId="172">
    <w:name w:val="访问过的超链接1"/>
    <w:qFormat/>
    <w:uiPriority w:val="0"/>
    <w:rPr>
      <w:color w:val="800080"/>
      <w:u w:val="single"/>
    </w:rPr>
  </w:style>
  <w:style w:type="paragraph" w:customStyle="1" w:styleId="173">
    <w:name w:val="Char1"/>
    <w:basedOn w:val="1"/>
    <w:qFormat/>
    <w:uiPriority w:val="0"/>
    <w:pPr>
      <w:tabs>
        <w:tab w:val="left" w:pos="360"/>
      </w:tabs>
    </w:pPr>
    <w:rPr>
      <w:rFonts w:ascii="Times New Roman" w:hAnsi="Times New Roman" w:eastAsia="宋体"/>
      <w:sz w:val="24"/>
      <w:szCs w:val="24"/>
    </w:rPr>
  </w:style>
  <w:style w:type="character" w:customStyle="1" w:styleId="174">
    <w:name w:val="正文文本缩进 Char"/>
    <w:basedOn w:val="49"/>
    <w:qFormat/>
    <w:uiPriority w:val="0"/>
    <w:rPr>
      <w:rFonts w:ascii="等线" w:hAnsi="等线" w:eastAsia="等线" w:cs="Times New Roman"/>
    </w:rPr>
  </w:style>
  <w:style w:type="character" w:customStyle="1" w:styleId="175">
    <w:name w:val="正文文本缩进 字符"/>
    <w:basedOn w:val="49"/>
    <w:semiHidden/>
    <w:qFormat/>
    <w:uiPriority w:val="99"/>
  </w:style>
  <w:style w:type="character" w:customStyle="1" w:styleId="176">
    <w:name w:val="正文文本缩进 字符1"/>
    <w:link w:val="20"/>
    <w:qFormat/>
    <w:uiPriority w:val="99"/>
    <w:rPr>
      <w:rFonts w:ascii="Times New Roman" w:hAnsi="Times New Roman" w:eastAsia="宋体" w:cs="Times New Roman"/>
      <w:kern w:val="0"/>
      <w:sz w:val="20"/>
      <w:szCs w:val="24"/>
    </w:rPr>
  </w:style>
  <w:style w:type="paragraph" w:customStyle="1" w:styleId="177">
    <w:name w:val="表格"/>
    <w:basedOn w:val="1"/>
    <w:qFormat/>
    <w:uiPriority w:val="0"/>
    <w:pPr>
      <w:jc w:val="center"/>
      <w:textAlignment w:val="center"/>
    </w:pPr>
    <w:rPr>
      <w:rFonts w:ascii="华文细黑" w:hAnsi="华文细黑" w:eastAsia="宋体"/>
      <w:kern w:val="0"/>
      <w:szCs w:val="20"/>
    </w:rPr>
  </w:style>
  <w:style w:type="paragraph" w:customStyle="1" w:styleId="178">
    <w:name w:val="修订1"/>
    <w:qFormat/>
    <w:uiPriority w:val="0"/>
    <w:rPr>
      <w:rFonts w:ascii="Times New Roman" w:hAnsi="Times New Roman" w:eastAsia="宋体" w:cs="Times New Roman"/>
      <w:kern w:val="2"/>
      <w:sz w:val="21"/>
      <w:szCs w:val="24"/>
      <w:lang w:val="en-US" w:eastAsia="zh-CN" w:bidi="ar-SA"/>
    </w:rPr>
  </w:style>
  <w:style w:type="paragraph" w:customStyle="1" w:styleId="179">
    <w:name w:val="样式2"/>
    <w:basedOn w:val="4"/>
    <w:link w:val="213"/>
    <w:qFormat/>
    <w:uiPriority w:val="0"/>
    <w:rPr>
      <w:i/>
    </w:rPr>
  </w:style>
  <w:style w:type="paragraph" w:customStyle="1" w:styleId="180">
    <w:name w:val="表格文字"/>
    <w:basedOn w:val="1"/>
    <w:qFormat/>
    <w:uiPriority w:val="0"/>
    <w:pPr>
      <w:adjustRightInd w:val="0"/>
      <w:spacing w:line="420" w:lineRule="atLeast"/>
      <w:jc w:val="left"/>
      <w:textAlignment w:val="baseline"/>
    </w:pPr>
    <w:rPr>
      <w:rFonts w:ascii="Times New Roman" w:hAnsi="Times New Roman" w:eastAsia="宋体"/>
      <w:kern w:val="0"/>
      <w:szCs w:val="20"/>
    </w:rPr>
  </w:style>
  <w:style w:type="character" w:customStyle="1" w:styleId="181">
    <w:name w:val="文档结构图 字符2"/>
    <w:basedOn w:val="49"/>
    <w:link w:val="14"/>
    <w:qFormat/>
    <w:uiPriority w:val="0"/>
    <w:rPr>
      <w:rFonts w:ascii="宋体" w:hAnsi="等线" w:eastAsia="宋体" w:cs="Times New Roman"/>
      <w:sz w:val="18"/>
      <w:szCs w:val="18"/>
    </w:rPr>
  </w:style>
  <w:style w:type="character" w:customStyle="1" w:styleId="182">
    <w:name w:val="文档结构图 字符"/>
    <w:semiHidden/>
    <w:qFormat/>
    <w:uiPriority w:val="99"/>
    <w:rPr>
      <w:rFonts w:ascii="Microsoft YaHei UI" w:eastAsia="Microsoft YaHei UI"/>
      <w:sz w:val="18"/>
      <w:szCs w:val="18"/>
    </w:rPr>
  </w:style>
  <w:style w:type="character" w:customStyle="1" w:styleId="183">
    <w:name w:val="文档结构图 字符1"/>
    <w:semiHidden/>
    <w:qFormat/>
    <w:uiPriority w:val="99"/>
    <w:rPr>
      <w:rFonts w:ascii="Microsoft YaHei UI" w:eastAsia="Microsoft YaHei UI"/>
      <w:sz w:val="18"/>
      <w:szCs w:val="18"/>
    </w:rPr>
  </w:style>
  <w:style w:type="character" w:customStyle="1" w:styleId="184">
    <w:name w:val="正文文本 Char"/>
    <w:basedOn w:val="49"/>
    <w:qFormat/>
    <w:uiPriority w:val="0"/>
    <w:rPr>
      <w:rFonts w:ascii="等线" w:hAnsi="等线" w:eastAsia="等线" w:cs="Times New Roman"/>
    </w:rPr>
  </w:style>
  <w:style w:type="character" w:customStyle="1" w:styleId="185">
    <w:name w:val="正文文本 字符1"/>
    <w:basedOn w:val="49"/>
    <w:semiHidden/>
    <w:qFormat/>
    <w:uiPriority w:val="99"/>
  </w:style>
  <w:style w:type="character" w:customStyle="1" w:styleId="186">
    <w:name w:val="正文文本 字符2"/>
    <w:link w:val="18"/>
    <w:qFormat/>
    <w:uiPriority w:val="0"/>
    <w:rPr>
      <w:rFonts w:ascii="Calibri" w:hAnsi="Calibri" w:eastAsia="宋体" w:cs="Times New Roman"/>
      <w:kern w:val="0"/>
      <w:sz w:val="20"/>
      <w:szCs w:val="20"/>
    </w:rPr>
  </w:style>
  <w:style w:type="character" w:customStyle="1" w:styleId="187">
    <w:name w:val="正文文本首行缩进 字符"/>
    <w:basedOn w:val="184"/>
    <w:link w:val="45"/>
    <w:semiHidden/>
    <w:qFormat/>
    <w:uiPriority w:val="99"/>
    <w:rPr>
      <w:rFonts w:ascii="等线" w:hAnsi="等线" w:eastAsia="等线" w:cs="Times New Roman"/>
    </w:rPr>
  </w:style>
  <w:style w:type="character" w:customStyle="1" w:styleId="188">
    <w:name w:val="正文首行缩进 字符"/>
    <w:basedOn w:val="185"/>
    <w:semiHidden/>
    <w:qFormat/>
    <w:uiPriority w:val="99"/>
  </w:style>
  <w:style w:type="character" w:customStyle="1" w:styleId="189">
    <w:name w:val="正文首行缩进 字符1"/>
    <w:semiHidden/>
    <w:qFormat/>
    <w:uiPriority w:val="99"/>
  </w:style>
  <w:style w:type="character" w:customStyle="1" w:styleId="190">
    <w:name w:val="标题 Char1"/>
    <w:basedOn w:val="49"/>
    <w:qFormat/>
    <w:uiPriority w:val="0"/>
    <w:rPr>
      <w:rFonts w:eastAsia="宋体" w:asciiTheme="majorHAnsi" w:hAnsiTheme="majorHAnsi" w:cstheme="majorBidi"/>
      <w:b/>
      <w:bCs/>
      <w:sz w:val="32"/>
      <w:szCs w:val="32"/>
    </w:rPr>
  </w:style>
  <w:style w:type="character" w:customStyle="1" w:styleId="191">
    <w:name w:val="标题 字符"/>
    <w:qFormat/>
    <w:uiPriority w:val="10"/>
    <w:rPr>
      <w:rFonts w:ascii="等线 Light" w:hAnsi="等线 Light" w:eastAsia="等线 Light" w:cs="Times New Roman"/>
      <w:b/>
      <w:bCs/>
      <w:sz w:val="32"/>
      <w:szCs w:val="32"/>
    </w:rPr>
  </w:style>
  <w:style w:type="character" w:customStyle="1" w:styleId="192">
    <w:name w:val="标题 字符1"/>
    <w:link w:val="43"/>
    <w:qFormat/>
    <w:uiPriority w:val="10"/>
    <w:rPr>
      <w:rFonts w:ascii="Arial" w:hAnsi="Arial" w:eastAsia="宋体" w:cs="Times New Roman"/>
      <w:b/>
      <w:kern w:val="0"/>
      <w:sz w:val="32"/>
      <w:szCs w:val="20"/>
    </w:rPr>
  </w:style>
  <w:style w:type="paragraph" w:customStyle="1" w:styleId="193">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spacing w:val="20"/>
      <w:kern w:val="28"/>
      <w:szCs w:val="20"/>
    </w:rPr>
  </w:style>
  <w:style w:type="paragraph" w:customStyle="1" w:styleId="194">
    <w:name w:val="Char"/>
    <w:basedOn w:val="1"/>
    <w:qFormat/>
    <w:uiPriority w:val="0"/>
    <w:pPr>
      <w:tabs>
        <w:tab w:val="left" w:pos="360"/>
      </w:tabs>
    </w:pPr>
    <w:rPr>
      <w:rFonts w:ascii="Times New Roman" w:hAnsi="Times New Roman" w:eastAsia="宋体"/>
      <w:sz w:val="24"/>
      <w:szCs w:val="24"/>
    </w:rPr>
  </w:style>
  <w:style w:type="paragraph" w:customStyle="1" w:styleId="195">
    <w:name w:val="样式 标题 3 + (中文) 黑体 小四 非加粗 段前: 7.8 磅 段后: 0 磅 行距: 固定值 20 磅"/>
    <w:basedOn w:val="4"/>
    <w:qFormat/>
    <w:uiPriority w:val="0"/>
    <w:pPr>
      <w:spacing w:before="0" w:after="0" w:line="400" w:lineRule="exact"/>
    </w:pPr>
    <w:rPr>
      <w:rFonts w:cs="宋体"/>
      <w:bCs w:val="0"/>
      <w:sz w:val="24"/>
      <w:szCs w:val="20"/>
    </w:rPr>
  </w:style>
  <w:style w:type="character" w:customStyle="1" w:styleId="196">
    <w:name w:val="批注文字 字符2"/>
    <w:basedOn w:val="49"/>
    <w:link w:val="15"/>
    <w:qFormat/>
    <w:uiPriority w:val="0"/>
    <w:rPr>
      <w:rFonts w:ascii="等线" w:hAnsi="等线" w:eastAsia="等线" w:cs="Times New Roman"/>
    </w:rPr>
  </w:style>
  <w:style w:type="character" w:customStyle="1" w:styleId="197">
    <w:name w:val="批注文字 字符"/>
    <w:basedOn w:val="49"/>
    <w:semiHidden/>
    <w:qFormat/>
    <w:uiPriority w:val="99"/>
  </w:style>
  <w:style w:type="character" w:customStyle="1" w:styleId="198">
    <w:name w:val="批注文字 字符1"/>
    <w:semiHidden/>
    <w:qFormat/>
    <w:uiPriority w:val="99"/>
  </w:style>
  <w:style w:type="character" w:customStyle="1" w:styleId="199">
    <w:name w:val="批注主题 字符2"/>
    <w:basedOn w:val="196"/>
    <w:link w:val="44"/>
    <w:qFormat/>
    <w:uiPriority w:val="0"/>
    <w:rPr>
      <w:rFonts w:ascii="等线" w:hAnsi="等线" w:eastAsia="等线" w:cs="Times New Roman"/>
      <w:b/>
      <w:bCs/>
    </w:rPr>
  </w:style>
  <w:style w:type="character" w:customStyle="1" w:styleId="200">
    <w:name w:val="批注主题 字符"/>
    <w:semiHidden/>
    <w:qFormat/>
    <w:uiPriority w:val="99"/>
    <w:rPr>
      <w:b/>
      <w:bCs/>
    </w:rPr>
  </w:style>
  <w:style w:type="character" w:customStyle="1" w:styleId="201">
    <w:name w:val="批注主题 字符1"/>
    <w:semiHidden/>
    <w:qFormat/>
    <w:uiPriority w:val="99"/>
    <w:rPr>
      <w:b/>
      <w:bCs/>
    </w:rPr>
  </w:style>
  <w:style w:type="character" w:customStyle="1" w:styleId="202">
    <w:name w:val="正文文本缩进 3 Char"/>
    <w:basedOn w:val="49"/>
    <w:qFormat/>
    <w:uiPriority w:val="0"/>
    <w:rPr>
      <w:rFonts w:ascii="等线" w:hAnsi="等线" w:eastAsia="等线" w:cs="Times New Roman"/>
      <w:sz w:val="16"/>
      <w:szCs w:val="16"/>
    </w:rPr>
  </w:style>
  <w:style w:type="character" w:customStyle="1" w:styleId="203">
    <w:name w:val="正文文本缩进 3 字符"/>
    <w:semiHidden/>
    <w:qFormat/>
    <w:uiPriority w:val="99"/>
    <w:rPr>
      <w:sz w:val="16"/>
      <w:szCs w:val="16"/>
    </w:rPr>
  </w:style>
  <w:style w:type="character" w:customStyle="1" w:styleId="204">
    <w:name w:val="正文文本缩进 3 字符1"/>
    <w:link w:val="37"/>
    <w:qFormat/>
    <w:uiPriority w:val="0"/>
    <w:rPr>
      <w:rFonts w:ascii="Times New Roman" w:hAnsi="Times New Roman" w:eastAsia="宋体" w:cs="Times New Roman"/>
      <w:kern w:val="0"/>
      <w:sz w:val="16"/>
      <w:szCs w:val="16"/>
    </w:rPr>
  </w:style>
  <w:style w:type="paragraph" w:customStyle="1" w:styleId="205">
    <w:name w:val="样式 标题 1 + 黑体 三号 非加粗 居中 段前: 6 磅 段后: 6 磅 行距: 固定值 20 磅"/>
    <w:basedOn w:val="2"/>
    <w:qFormat/>
    <w:uiPriority w:val="0"/>
    <w:pPr>
      <w:widowControl w:val="0"/>
      <w:spacing w:before="120" w:after="120" w:line="400" w:lineRule="exact"/>
      <w:jc w:val="center"/>
    </w:pPr>
    <w:rPr>
      <w:rFonts w:ascii="黑体" w:hAnsi="黑体" w:eastAsia="黑体" w:cs="宋体"/>
      <w:b w:val="0"/>
      <w:bCs w:val="0"/>
      <w:sz w:val="32"/>
      <w:szCs w:val="20"/>
    </w:rPr>
  </w:style>
  <w:style w:type="paragraph" w:customStyle="1" w:styleId="206">
    <w:name w:val="1"/>
    <w:basedOn w:val="1"/>
    <w:qFormat/>
    <w:uiPriority w:val="0"/>
    <w:rPr>
      <w:rFonts w:ascii="Times New Roman" w:hAnsi="Times New Roman" w:eastAsia="宋体"/>
      <w:szCs w:val="24"/>
    </w:rPr>
  </w:style>
  <w:style w:type="character" w:customStyle="1" w:styleId="207">
    <w:name w:val="样式 标题 2 + Times New Roman 四号 非加粗 段前: 5 磅 段后: 0 磅 行距: 固定值 20... Char"/>
    <w:link w:val="161"/>
    <w:qFormat/>
    <w:locked/>
    <w:uiPriority w:val="0"/>
    <w:rPr>
      <w:rFonts w:ascii="Times New Roman" w:hAnsi="Times New Roman" w:eastAsia="黑体" w:cs="Times New Roman"/>
      <w:kern w:val="0"/>
      <w:sz w:val="28"/>
      <w:szCs w:val="20"/>
    </w:rPr>
  </w:style>
  <w:style w:type="paragraph" w:customStyle="1" w:styleId="208">
    <w:name w:val="修订2"/>
    <w:qFormat/>
    <w:uiPriority w:val="0"/>
    <w:rPr>
      <w:rFonts w:ascii="Times New Roman" w:hAnsi="Times New Roman" w:eastAsia="宋体" w:cs="Times New Roman"/>
      <w:kern w:val="2"/>
      <w:sz w:val="21"/>
      <w:szCs w:val="24"/>
      <w:lang w:val="en-US" w:eastAsia="zh-CN" w:bidi="ar-SA"/>
    </w:rPr>
  </w:style>
  <w:style w:type="paragraph" w:customStyle="1" w:styleId="209">
    <w:name w:val="_Style 194"/>
    <w:unhideWhenUsed/>
    <w:qFormat/>
    <w:uiPriority w:val="99"/>
    <w:pPr>
      <w:widowControl w:val="0"/>
      <w:jc w:val="both"/>
    </w:pPr>
    <w:rPr>
      <w:rFonts w:ascii="等线" w:hAnsi="等线" w:eastAsia="等线" w:cs="Times New Roman"/>
      <w:kern w:val="2"/>
      <w:sz w:val="21"/>
      <w:szCs w:val="22"/>
      <w:lang w:val="en-US" w:eastAsia="zh-CN" w:bidi="ar-SA"/>
    </w:rPr>
  </w:style>
  <w:style w:type="character" w:customStyle="1" w:styleId="210">
    <w:name w:val="纯文本 Char1"/>
    <w:basedOn w:val="49"/>
    <w:qFormat/>
    <w:uiPriority w:val="99"/>
    <w:rPr>
      <w:rFonts w:ascii="宋体" w:hAnsi="Courier New" w:eastAsia="宋体" w:cs="Times New Roman"/>
      <w:kern w:val="0"/>
      <w:sz w:val="20"/>
      <w:szCs w:val="20"/>
    </w:rPr>
  </w:style>
  <w:style w:type="character" w:customStyle="1" w:styleId="211">
    <w:name w:val="纯文本 字符"/>
    <w:basedOn w:val="49"/>
    <w:link w:val="25"/>
    <w:qFormat/>
    <w:uiPriority w:val="0"/>
    <w:rPr>
      <w:rFonts w:ascii="宋体" w:hAnsi="Courier New" w:eastAsia="宋体" w:cs="Courier New"/>
      <w:szCs w:val="21"/>
    </w:rPr>
  </w:style>
  <w:style w:type="paragraph" w:customStyle="1" w:styleId="212">
    <w:name w:val="Blockquote"/>
    <w:basedOn w:val="1"/>
    <w:qFormat/>
    <w:uiPriority w:val="0"/>
    <w:pPr>
      <w:autoSpaceDE w:val="0"/>
      <w:autoSpaceDN w:val="0"/>
      <w:adjustRightInd w:val="0"/>
      <w:spacing w:before="100" w:after="100"/>
      <w:ind w:left="360" w:right="360"/>
      <w:jc w:val="left"/>
    </w:pPr>
    <w:rPr>
      <w:rFonts w:ascii="Times New Roman" w:hAnsi="Times New Roman" w:eastAsia="宋体"/>
      <w:kern w:val="0"/>
      <w:sz w:val="24"/>
      <w:szCs w:val="20"/>
    </w:rPr>
  </w:style>
  <w:style w:type="character" w:customStyle="1" w:styleId="213">
    <w:name w:val="样式2 Char"/>
    <w:basedOn w:val="49"/>
    <w:link w:val="179"/>
    <w:qFormat/>
    <w:locked/>
    <w:uiPriority w:val="0"/>
    <w:rPr>
      <w:rFonts w:ascii="黑体" w:hAnsi="宋体" w:eastAsia="黑体" w:cs="Times New Roman"/>
      <w:bCs/>
      <w:i/>
      <w:kern w:val="0"/>
      <w:sz w:val="28"/>
      <w:szCs w:val="28"/>
    </w:rPr>
  </w:style>
  <w:style w:type="paragraph" w:customStyle="1" w:styleId="214">
    <w:name w:val="编号1"/>
    <w:basedOn w:val="12"/>
    <w:qFormat/>
    <w:uiPriority w:val="0"/>
    <w:pPr>
      <w:numPr>
        <w:ilvl w:val="0"/>
        <w:numId w:val="1"/>
      </w:numPr>
      <w:tabs>
        <w:tab w:val="left" w:pos="720"/>
        <w:tab w:val="left" w:pos="1200"/>
      </w:tabs>
      <w:adjustRightInd w:val="0"/>
      <w:snapToGrid w:val="0"/>
      <w:spacing w:before="120" w:line="400" w:lineRule="exact"/>
      <w:ind w:left="720" w:firstLine="0" w:firstLineChars="0"/>
    </w:pPr>
    <w:rPr>
      <w:kern w:val="0"/>
      <w:sz w:val="24"/>
      <w:szCs w:val="20"/>
    </w:rPr>
  </w:style>
  <w:style w:type="character" w:customStyle="1" w:styleId="215">
    <w:name w:val="正文缩进 字符"/>
    <w:link w:val="12"/>
    <w:qFormat/>
    <w:locked/>
    <w:uiPriority w:val="0"/>
    <w:rPr>
      <w:rFonts w:ascii="Times New Roman" w:hAnsi="Times New Roman" w:eastAsia="宋体" w:cs="Times New Roman"/>
      <w:szCs w:val="24"/>
    </w:rPr>
  </w:style>
  <w:style w:type="character" w:customStyle="1" w:styleId="216">
    <w:name w:val="标题 5 字符"/>
    <w:basedOn w:val="49"/>
    <w:link w:val="6"/>
    <w:qFormat/>
    <w:uiPriority w:val="0"/>
    <w:rPr>
      <w:rFonts w:ascii="Times New Roman" w:hAnsi="Times New Roman" w:eastAsia="宋体" w:cs="Times New Roman"/>
      <w:b/>
      <w:sz w:val="28"/>
      <w:szCs w:val="20"/>
    </w:rPr>
  </w:style>
  <w:style w:type="character" w:customStyle="1" w:styleId="217">
    <w:name w:val="标题5 Char Char"/>
    <w:link w:val="218"/>
    <w:qFormat/>
    <w:locked/>
    <w:uiPriority w:val="0"/>
    <w:rPr>
      <w:rFonts w:ascii="Arial" w:hAnsi="Arial" w:cs="Arial"/>
      <w:b/>
      <w:bCs/>
      <w:sz w:val="24"/>
      <w:szCs w:val="32"/>
    </w:rPr>
  </w:style>
  <w:style w:type="paragraph" w:customStyle="1" w:styleId="218">
    <w:name w:val="标题5"/>
    <w:basedOn w:val="4"/>
    <w:link w:val="217"/>
    <w:qFormat/>
    <w:uiPriority w:val="0"/>
    <w:pPr>
      <w:spacing w:line="412" w:lineRule="auto"/>
      <w:ind w:firstLine="0" w:firstLineChars="0"/>
    </w:pPr>
    <w:rPr>
      <w:rFonts w:ascii="Arial" w:hAnsi="Arial" w:cs="Arial" w:eastAsiaTheme="minorEastAsia"/>
      <w:b/>
      <w:kern w:val="2"/>
      <w:sz w:val="24"/>
      <w:szCs w:val="32"/>
    </w:rPr>
  </w:style>
  <w:style w:type="character" w:customStyle="1" w:styleId="219">
    <w:name w:val="Char Char8"/>
    <w:qFormat/>
    <w:uiPriority w:val="0"/>
    <w:rPr>
      <w:rFonts w:ascii="Arial" w:hAnsi="Arial" w:eastAsia="黑体"/>
      <w:b/>
      <w:bCs/>
      <w:kern w:val="2"/>
      <w:sz w:val="32"/>
      <w:szCs w:val="32"/>
      <w:lang w:val="en-US" w:eastAsia="zh-CN" w:bidi="ar-SA"/>
    </w:rPr>
  </w:style>
  <w:style w:type="character" w:customStyle="1" w:styleId="220">
    <w:name w:val="Char Char23"/>
    <w:qFormat/>
    <w:locked/>
    <w:uiPriority w:val="0"/>
    <w:rPr>
      <w:rFonts w:hint="eastAsia" w:ascii="宋体" w:hAnsi="宋体" w:eastAsia="宋体"/>
      <w:kern w:val="2"/>
      <w:sz w:val="21"/>
      <w:szCs w:val="24"/>
      <w:lang w:val="en-US" w:eastAsia="zh-CN" w:bidi="ar-SA"/>
    </w:rPr>
  </w:style>
  <w:style w:type="character" w:customStyle="1" w:styleId="221">
    <w:name w:val="正文文本缩进 2 Char"/>
    <w:basedOn w:val="49"/>
    <w:qFormat/>
    <w:uiPriority w:val="0"/>
    <w:rPr>
      <w:szCs w:val="24"/>
    </w:rPr>
  </w:style>
  <w:style w:type="character" w:customStyle="1" w:styleId="222">
    <w:name w:val="正文文本缩进 2 字符"/>
    <w:basedOn w:val="49"/>
    <w:link w:val="28"/>
    <w:qFormat/>
    <w:uiPriority w:val="99"/>
    <w:rPr>
      <w:rFonts w:ascii="等线" w:hAnsi="等线" w:eastAsia="等线" w:cs="Times New Roman"/>
    </w:rPr>
  </w:style>
  <w:style w:type="character" w:customStyle="1" w:styleId="223">
    <w:name w:val="Char Char9"/>
    <w:qFormat/>
    <w:uiPriority w:val="0"/>
    <w:rPr>
      <w:kern w:val="2"/>
      <w:sz w:val="21"/>
      <w:szCs w:val="22"/>
    </w:rPr>
  </w:style>
  <w:style w:type="character" w:customStyle="1" w:styleId="224">
    <w:name w:val="脚注文本 Char"/>
    <w:basedOn w:val="49"/>
    <w:qFormat/>
    <w:uiPriority w:val="0"/>
    <w:rPr>
      <w:rFonts w:ascii="Times New Roman" w:hAnsi="Times New Roman" w:eastAsia="宋体" w:cs="Times New Roman"/>
      <w:kern w:val="0"/>
      <w:sz w:val="20"/>
      <w:szCs w:val="20"/>
    </w:rPr>
  </w:style>
  <w:style w:type="character" w:customStyle="1" w:styleId="225">
    <w:name w:val="脚注文本 字符"/>
    <w:basedOn w:val="49"/>
    <w:link w:val="35"/>
    <w:qFormat/>
    <w:uiPriority w:val="99"/>
    <w:rPr>
      <w:rFonts w:ascii="等线" w:hAnsi="等线" w:eastAsia="等线" w:cs="Times New Roman"/>
      <w:sz w:val="18"/>
      <w:szCs w:val="18"/>
    </w:rPr>
  </w:style>
  <w:style w:type="character" w:customStyle="1" w:styleId="226">
    <w:name w:val="不明显强调1"/>
    <w:qFormat/>
    <w:uiPriority w:val="0"/>
    <w:rPr>
      <w:i/>
      <w:iCs/>
      <w:color w:val="808080"/>
    </w:rPr>
  </w:style>
  <w:style w:type="character" w:customStyle="1" w:styleId="227">
    <w:name w:val="明显参考1"/>
    <w:qFormat/>
    <w:uiPriority w:val="0"/>
    <w:rPr>
      <w:b/>
      <w:bCs/>
      <w:smallCaps/>
      <w:color w:val="C0504D"/>
      <w:spacing w:val="5"/>
      <w:u w:val="single"/>
    </w:rPr>
  </w:style>
  <w:style w:type="character" w:customStyle="1" w:styleId="228">
    <w:name w:val="Char Char3"/>
    <w:qFormat/>
    <w:locked/>
    <w:uiPriority w:val="0"/>
    <w:rPr>
      <w:rFonts w:hint="eastAsia" w:ascii="宋体" w:hAnsi="宋体" w:eastAsia="宋体"/>
      <w:kern w:val="2"/>
      <w:sz w:val="21"/>
      <w:szCs w:val="24"/>
      <w:lang w:val="en-US" w:eastAsia="zh-CN" w:bidi="ar-SA"/>
    </w:rPr>
  </w:style>
  <w:style w:type="character" w:customStyle="1" w:styleId="229">
    <w:name w:val="引用 Char1"/>
    <w:basedOn w:val="49"/>
    <w:qFormat/>
    <w:locked/>
    <w:uiPriority w:val="0"/>
    <w:rPr>
      <w:i/>
      <w:iCs/>
      <w:color w:val="000000"/>
    </w:rPr>
  </w:style>
  <w:style w:type="paragraph" w:styleId="230">
    <w:name w:val="Quote"/>
    <w:basedOn w:val="1"/>
    <w:next w:val="1"/>
    <w:link w:val="231"/>
    <w:qFormat/>
    <w:uiPriority w:val="0"/>
    <w:rPr>
      <w:rFonts w:asciiTheme="minorHAnsi" w:hAnsiTheme="minorHAnsi" w:eastAsiaTheme="minorEastAsia" w:cstheme="minorBidi"/>
      <w:i/>
      <w:iCs/>
      <w:color w:val="000000"/>
    </w:rPr>
  </w:style>
  <w:style w:type="character" w:customStyle="1" w:styleId="231">
    <w:name w:val="引用 字符"/>
    <w:basedOn w:val="49"/>
    <w:link w:val="230"/>
    <w:qFormat/>
    <w:uiPriority w:val="0"/>
    <w:rPr>
      <w:rFonts w:ascii="等线" w:hAnsi="等线" w:eastAsia="等线" w:cs="Times New Roman"/>
      <w:i/>
      <w:iCs/>
      <w:color w:val="000000" w:themeColor="text1"/>
      <w14:textFill>
        <w14:solidFill>
          <w14:schemeClr w14:val="tx1"/>
        </w14:solidFill>
      </w14:textFill>
    </w:rPr>
  </w:style>
  <w:style w:type="character" w:customStyle="1" w:styleId="232">
    <w:name w:val="正文文本 2 Char1"/>
    <w:basedOn w:val="49"/>
    <w:qFormat/>
    <w:locked/>
    <w:uiPriority w:val="0"/>
    <w:rPr>
      <w:rFonts w:ascii="宋体" w:hAnsi="宋体"/>
      <w:color w:val="000000"/>
      <w:sz w:val="18"/>
      <w:szCs w:val="18"/>
    </w:rPr>
  </w:style>
  <w:style w:type="character" w:customStyle="1" w:styleId="233">
    <w:name w:val="正文文本 2 字符"/>
    <w:basedOn w:val="49"/>
    <w:link w:val="19"/>
    <w:qFormat/>
    <w:uiPriority w:val="0"/>
    <w:rPr>
      <w:rFonts w:ascii="等线" w:hAnsi="等线" w:eastAsia="等线" w:cs="Times New Roman"/>
    </w:rPr>
  </w:style>
  <w:style w:type="character" w:customStyle="1" w:styleId="234">
    <w:name w:val="明显引用 Char1"/>
    <w:basedOn w:val="49"/>
    <w:qFormat/>
    <w:locked/>
    <w:uiPriority w:val="0"/>
    <w:rPr>
      <w:b/>
      <w:bCs/>
      <w:i/>
      <w:iCs/>
      <w:color w:val="4F81BD"/>
    </w:rPr>
  </w:style>
  <w:style w:type="paragraph" w:styleId="235">
    <w:name w:val="Intense Quote"/>
    <w:basedOn w:val="1"/>
    <w:next w:val="1"/>
    <w:link w:val="236"/>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rPr>
  </w:style>
  <w:style w:type="character" w:customStyle="1" w:styleId="236">
    <w:name w:val="明显引用 字符"/>
    <w:basedOn w:val="49"/>
    <w:link w:val="235"/>
    <w:qFormat/>
    <w:uiPriority w:val="0"/>
    <w:rPr>
      <w:rFonts w:ascii="等线" w:hAnsi="等线" w:eastAsia="等线" w:cs="Times New Roman"/>
      <w:b/>
      <w:bCs/>
      <w:i/>
      <w:iCs/>
      <w:color w:val="4F81BD" w:themeColor="accent1"/>
      <w14:textFill>
        <w14:solidFill>
          <w14:schemeClr w14:val="accent1"/>
        </w14:solidFill>
      </w14:textFill>
    </w:rPr>
  </w:style>
  <w:style w:type="character" w:customStyle="1" w:styleId="237">
    <w:name w:val="标题 1.1 Char"/>
    <w:qFormat/>
    <w:uiPriority w:val="0"/>
    <w:rPr>
      <w:rFonts w:hint="default" w:ascii="Arial" w:hAnsi="Arial" w:eastAsia="黑体" w:cs="Arial"/>
      <w:b/>
      <w:bCs/>
      <w:kern w:val="2"/>
      <w:sz w:val="32"/>
      <w:szCs w:val="32"/>
      <w:lang w:val="en-US" w:eastAsia="zh-CN" w:bidi="ar-SA"/>
    </w:rPr>
  </w:style>
  <w:style w:type="character" w:customStyle="1" w:styleId="238">
    <w:name w:val="Char Char12"/>
    <w:qFormat/>
    <w:locked/>
    <w:uiPriority w:val="0"/>
    <w:rPr>
      <w:rFonts w:hint="eastAsia" w:ascii="宋体" w:hAnsi="宋体" w:eastAsia="宋体"/>
      <w:kern w:val="2"/>
      <w:sz w:val="21"/>
      <w:szCs w:val="24"/>
      <w:lang w:bidi="ar-SA"/>
    </w:rPr>
  </w:style>
  <w:style w:type="character" w:customStyle="1" w:styleId="239">
    <w:name w:val="批注框文本 Char2"/>
    <w:basedOn w:val="49"/>
    <w:qFormat/>
    <w:locked/>
    <w:uiPriority w:val="0"/>
    <w:rPr>
      <w:sz w:val="18"/>
      <w:szCs w:val="18"/>
    </w:rPr>
  </w:style>
  <w:style w:type="character" w:customStyle="1" w:styleId="240">
    <w:name w:val="不明显参考1"/>
    <w:qFormat/>
    <w:uiPriority w:val="0"/>
    <w:rPr>
      <w:smallCaps/>
      <w:color w:val="C0504D"/>
      <w:u w:val="single"/>
    </w:rPr>
  </w:style>
  <w:style w:type="character" w:customStyle="1" w:styleId="241">
    <w:name w:val="副标题 Char"/>
    <w:basedOn w:val="49"/>
    <w:qFormat/>
    <w:uiPriority w:val="0"/>
    <w:rPr>
      <w:rFonts w:ascii="Cambria" w:hAnsi="Cambria" w:eastAsia="宋体" w:cs="Times New Roman"/>
      <w:b/>
      <w:bCs/>
      <w:kern w:val="28"/>
      <w:sz w:val="32"/>
      <w:szCs w:val="32"/>
    </w:rPr>
  </w:style>
  <w:style w:type="character" w:customStyle="1" w:styleId="242">
    <w:name w:val="Char Char"/>
    <w:qFormat/>
    <w:uiPriority w:val="0"/>
    <w:rPr>
      <w:rFonts w:ascii="Arial" w:hAnsi="Arial" w:eastAsia="黑体"/>
      <w:b/>
      <w:bCs/>
      <w:kern w:val="2"/>
      <w:sz w:val="32"/>
      <w:szCs w:val="32"/>
      <w:lang w:val="en-US" w:eastAsia="zh-CN" w:bidi="ar-SA"/>
    </w:rPr>
  </w:style>
  <w:style w:type="character" w:customStyle="1" w:styleId="243">
    <w:name w:val="HTML Markup"/>
    <w:basedOn w:val="49"/>
    <w:qFormat/>
    <w:uiPriority w:val="0"/>
    <w:rPr>
      <w:vanish/>
      <w:color w:val="FF0000"/>
    </w:rPr>
  </w:style>
  <w:style w:type="character" w:customStyle="1" w:styleId="244">
    <w:name w:val="明显强调1"/>
    <w:qFormat/>
    <w:uiPriority w:val="0"/>
    <w:rPr>
      <w:b/>
      <w:bCs/>
      <w:i/>
      <w:iCs/>
      <w:color w:val="4F81BD"/>
    </w:rPr>
  </w:style>
  <w:style w:type="character" w:customStyle="1" w:styleId="245">
    <w:name w:val="批注主题 Char2"/>
    <w:basedOn w:val="169"/>
    <w:qFormat/>
    <w:locked/>
    <w:uiPriority w:val="0"/>
    <w:rPr>
      <w:b/>
      <w:bCs/>
      <w:szCs w:val="24"/>
    </w:rPr>
  </w:style>
  <w:style w:type="character" w:customStyle="1" w:styleId="246">
    <w:name w:val="批注文字 Char2"/>
    <w:basedOn w:val="49"/>
    <w:qFormat/>
    <w:uiPriority w:val="99"/>
    <w:rPr>
      <w:rFonts w:ascii="Calibri" w:hAnsi="Calibri"/>
      <w:kern w:val="2"/>
      <w:sz w:val="21"/>
      <w:szCs w:val="22"/>
    </w:rPr>
  </w:style>
  <w:style w:type="character" w:customStyle="1" w:styleId="247">
    <w:name w:val="批注文字 Char Char"/>
    <w:qFormat/>
    <w:uiPriority w:val="0"/>
    <w:rPr>
      <w:rFonts w:hint="eastAsia" w:ascii="宋体" w:hAnsi="Times New Roman" w:eastAsia="宋体" w:cs="Times New Roman"/>
      <w:sz w:val="28"/>
      <w:szCs w:val="20"/>
    </w:rPr>
  </w:style>
  <w:style w:type="character" w:customStyle="1" w:styleId="248">
    <w:name w:val="正文文本 Char2"/>
    <w:basedOn w:val="49"/>
    <w:qFormat/>
    <w:uiPriority w:val="99"/>
    <w:rPr>
      <w:rFonts w:ascii="Calibri" w:hAnsi="Calibri"/>
      <w:kern w:val="2"/>
      <w:sz w:val="21"/>
      <w:szCs w:val="22"/>
    </w:rPr>
  </w:style>
  <w:style w:type="character" w:customStyle="1" w:styleId="249">
    <w:name w:val="Char Char2"/>
    <w:qFormat/>
    <w:locked/>
    <w:uiPriority w:val="0"/>
    <w:rPr>
      <w:rFonts w:hint="eastAsia" w:ascii="宋体" w:hAnsi="宋体" w:eastAsia="宋体"/>
      <w:kern w:val="2"/>
      <w:sz w:val="21"/>
      <w:szCs w:val="24"/>
      <w:lang w:val="en-US" w:eastAsia="zh-CN" w:bidi="ar-SA"/>
    </w:rPr>
  </w:style>
  <w:style w:type="character" w:customStyle="1" w:styleId="250">
    <w:name w:val="textcontents"/>
    <w:qFormat/>
    <w:uiPriority w:val="0"/>
    <w:rPr>
      <w:rFonts w:hint="default" w:ascii="Times New Roman" w:hAnsi="Times New Roman" w:cs="Times New Roman"/>
    </w:rPr>
  </w:style>
  <w:style w:type="character" w:customStyle="1" w:styleId="251">
    <w:name w:val="文档结构图 Char2"/>
    <w:basedOn w:val="49"/>
    <w:qFormat/>
    <w:uiPriority w:val="99"/>
    <w:rPr>
      <w:rFonts w:ascii="宋体" w:hAnsi="Calibri"/>
      <w:kern w:val="2"/>
      <w:sz w:val="18"/>
      <w:szCs w:val="18"/>
    </w:rPr>
  </w:style>
  <w:style w:type="character" w:customStyle="1" w:styleId="252">
    <w:name w:val="书籍标题1"/>
    <w:qFormat/>
    <w:uiPriority w:val="0"/>
    <w:rPr>
      <w:b/>
      <w:bCs/>
      <w:smallCaps/>
      <w:spacing w:val="5"/>
    </w:rPr>
  </w:style>
  <w:style w:type="character" w:customStyle="1" w:styleId="253">
    <w:name w:val="Char Char24"/>
    <w:basedOn w:val="49"/>
    <w:qFormat/>
    <w:locked/>
    <w:uiPriority w:val="0"/>
    <w:rPr>
      <w:rFonts w:hint="eastAsia" w:ascii="宋体" w:hAnsi="宋体" w:eastAsia="宋体"/>
      <w:szCs w:val="24"/>
      <w:lang w:bidi="ar-SA"/>
    </w:rPr>
  </w:style>
  <w:style w:type="character" w:customStyle="1" w:styleId="254">
    <w:name w:val="副标题 Char1"/>
    <w:basedOn w:val="49"/>
    <w:qFormat/>
    <w:locked/>
    <w:uiPriority w:val="0"/>
    <w:rPr>
      <w:rFonts w:ascii="Cambria" w:hAnsi="Cambria"/>
      <w:b/>
      <w:bCs/>
      <w:kern w:val="28"/>
      <w:sz w:val="32"/>
      <w:szCs w:val="32"/>
    </w:rPr>
  </w:style>
  <w:style w:type="character" w:customStyle="1" w:styleId="255">
    <w:name w:val="副标题 字符"/>
    <w:basedOn w:val="49"/>
    <w:link w:val="34"/>
    <w:qFormat/>
    <w:uiPriority w:val="11"/>
    <w:rPr>
      <w:rFonts w:eastAsia="宋体" w:asciiTheme="majorHAnsi" w:hAnsiTheme="majorHAnsi" w:cstheme="majorBidi"/>
      <w:b/>
      <w:bCs/>
      <w:kern w:val="28"/>
      <w:sz w:val="32"/>
      <w:szCs w:val="32"/>
    </w:rPr>
  </w:style>
  <w:style w:type="character" w:customStyle="1" w:styleId="256">
    <w:name w:val="正文文本 3 Char2"/>
    <w:basedOn w:val="49"/>
    <w:qFormat/>
    <w:uiPriority w:val="99"/>
    <w:rPr>
      <w:rFonts w:ascii="Calibri" w:hAnsi="Calibri"/>
      <w:kern w:val="2"/>
      <w:sz w:val="16"/>
      <w:szCs w:val="16"/>
    </w:rPr>
  </w:style>
  <w:style w:type="character" w:customStyle="1" w:styleId="257">
    <w:name w:val="日期 Char2"/>
    <w:basedOn w:val="49"/>
    <w:qFormat/>
    <w:uiPriority w:val="99"/>
    <w:rPr>
      <w:rFonts w:ascii="Calibri" w:hAnsi="Calibri"/>
      <w:kern w:val="2"/>
      <w:sz w:val="21"/>
      <w:szCs w:val="22"/>
    </w:rPr>
  </w:style>
  <w:style w:type="character" w:customStyle="1" w:styleId="258">
    <w:name w:val="纯文本 Char2"/>
    <w:basedOn w:val="49"/>
    <w:qFormat/>
    <w:uiPriority w:val="99"/>
    <w:rPr>
      <w:rFonts w:ascii="宋体" w:hAnsi="Courier New" w:cs="Courier New"/>
      <w:kern w:val="2"/>
      <w:sz w:val="21"/>
      <w:szCs w:val="21"/>
    </w:rPr>
  </w:style>
  <w:style w:type="character" w:customStyle="1" w:styleId="259">
    <w:name w:val="Char Char17"/>
    <w:qFormat/>
    <w:uiPriority w:val="0"/>
    <w:rPr>
      <w:rFonts w:hint="default" w:ascii="Cambria" w:hAnsi="Cambria" w:eastAsia="宋体" w:cs="Times New Roman"/>
      <w:b/>
      <w:bCs/>
      <w:kern w:val="2"/>
      <w:sz w:val="32"/>
      <w:szCs w:val="32"/>
    </w:rPr>
  </w:style>
  <w:style w:type="character" w:customStyle="1" w:styleId="260">
    <w:name w:val="Char Char7"/>
    <w:qFormat/>
    <w:uiPriority w:val="0"/>
    <w:rPr>
      <w:rFonts w:ascii="Arial" w:hAnsi="Arial" w:eastAsia="黑体"/>
      <w:b/>
      <w:bCs/>
      <w:kern w:val="2"/>
      <w:sz w:val="32"/>
      <w:szCs w:val="32"/>
      <w:lang w:val="en-US" w:eastAsia="zh-CN" w:bidi="ar-SA"/>
    </w:rPr>
  </w:style>
  <w:style w:type="character" w:customStyle="1" w:styleId="261">
    <w:name w:val="批注框文本 Char4"/>
    <w:basedOn w:val="49"/>
    <w:semiHidden/>
    <w:qFormat/>
    <w:uiPriority w:val="99"/>
    <w:rPr>
      <w:sz w:val="18"/>
      <w:szCs w:val="18"/>
    </w:rPr>
  </w:style>
  <w:style w:type="character" w:customStyle="1" w:styleId="262">
    <w:name w:val="批注主题 Char3"/>
    <w:basedOn w:val="246"/>
    <w:semiHidden/>
    <w:qFormat/>
    <w:uiPriority w:val="99"/>
    <w:rPr>
      <w:rFonts w:ascii="Calibri" w:hAnsi="Calibri"/>
      <w:b/>
      <w:bCs/>
      <w:kern w:val="2"/>
      <w:sz w:val="21"/>
      <w:szCs w:val="22"/>
    </w:rPr>
  </w:style>
  <w:style w:type="character" w:customStyle="1" w:styleId="263">
    <w:name w:val="称呼 字符"/>
    <w:basedOn w:val="49"/>
    <w:link w:val="16"/>
    <w:qFormat/>
    <w:uiPriority w:val="0"/>
    <w:rPr>
      <w:rFonts w:ascii="Times New Roman" w:hAnsi="Times New Roman" w:eastAsia="宋体" w:cs="Times New Roman"/>
      <w:sz w:val="28"/>
      <w:szCs w:val="24"/>
    </w:rPr>
  </w:style>
  <w:style w:type="character" w:customStyle="1" w:styleId="264">
    <w:name w:val="正文文本缩进 2 Char2"/>
    <w:basedOn w:val="49"/>
    <w:semiHidden/>
    <w:qFormat/>
    <w:uiPriority w:val="99"/>
  </w:style>
  <w:style w:type="paragraph" w:customStyle="1" w:styleId="265">
    <w:name w:val="Char Char Char Char Char Char Char Char Char Char Char Char Char"/>
    <w:basedOn w:val="1"/>
    <w:qFormat/>
    <w:uiPriority w:val="0"/>
    <w:rPr>
      <w:rFonts w:ascii="Times New Roman" w:hAnsi="Times New Roman" w:eastAsia="宋体"/>
      <w:szCs w:val="20"/>
    </w:rPr>
  </w:style>
  <w:style w:type="character" w:customStyle="1" w:styleId="266">
    <w:name w:val="明显引用 Char2"/>
    <w:basedOn w:val="49"/>
    <w:qFormat/>
    <w:uiPriority w:val="30"/>
    <w:rPr>
      <w:b/>
      <w:bCs/>
      <w:i/>
      <w:iCs/>
      <w:color w:val="4F81BD"/>
    </w:rPr>
  </w:style>
  <w:style w:type="paragraph" w:customStyle="1" w:styleId="267">
    <w:name w:val="TOC 标题1"/>
    <w:basedOn w:val="2"/>
    <w:next w:val="1"/>
    <w:qFormat/>
    <w:uiPriority w:val="0"/>
    <w:pPr>
      <w:widowControl w:val="0"/>
      <w:jc w:val="both"/>
      <w:outlineLvl w:val="9"/>
    </w:pPr>
    <w:rPr>
      <w:rFonts w:ascii="Calibri" w:hAnsi="Calibri"/>
    </w:rPr>
  </w:style>
  <w:style w:type="character" w:customStyle="1" w:styleId="268">
    <w:name w:val="正文文本缩进 3 Char2"/>
    <w:basedOn w:val="49"/>
    <w:semiHidden/>
    <w:qFormat/>
    <w:uiPriority w:val="99"/>
    <w:rPr>
      <w:sz w:val="16"/>
      <w:szCs w:val="16"/>
    </w:rPr>
  </w:style>
  <w:style w:type="character" w:customStyle="1" w:styleId="269">
    <w:name w:val="正文文本 2 Char2"/>
    <w:basedOn w:val="49"/>
    <w:semiHidden/>
    <w:qFormat/>
    <w:uiPriority w:val="99"/>
  </w:style>
  <w:style w:type="paragraph" w:customStyle="1" w:styleId="270">
    <w:name w:val="正文文字编号黑体"/>
    <w:basedOn w:val="1"/>
    <w:qFormat/>
    <w:uiPriority w:val="0"/>
    <w:pPr>
      <w:tabs>
        <w:tab w:val="left" w:pos="1134"/>
      </w:tabs>
      <w:overflowPunct w:val="0"/>
      <w:autoSpaceDE w:val="0"/>
      <w:autoSpaceDN w:val="0"/>
      <w:adjustRightInd w:val="0"/>
      <w:snapToGrid w:val="0"/>
      <w:spacing w:before="120" w:afterLines="50" w:line="360" w:lineRule="exact"/>
      <w:ind w:left="1134" w:hanging="1134"/>
      <w:textAlignment w:val="baseline"/>
    </w:pPr>
    <w:rPr>
      <w:rFonts w:ascii="Times New Roman" w:hAnsi="Times New Roman" w:eastAsia="宋体"/>
      <w:b/>
      <w:kern w:val="0"/>
      <w:sz w:val="24"/>
      <w:szCs w:val="24"/>
    </w:rPr>
  </w:style>
  <w:style w:type="paragraph" w:customStyle="1" w:styleId="271">
    <w:name w:val="样式 正文缩进正文（首行缩进两字）特点ALT+Z表正文正文非缩进四号段1Normal Indent Char2...4"/>
    <w:basedOn w:val="20"/>
    <w:qFormat/>
    <w:uiPriority w:val="0"/>
    <w:pPr>
      <w:tabs>
        <w:tab w:val="left" w:pos="510"/>
      </w:tabs>
      <w:adjustRightInd w:val="0"/>
      <w:spacing w:line="300" w:lineRule="auto"/>
      <w:ind w:left="0" w:leftChars="0" w:hanging="420"/>
    </w:pPr>
    <w:rPr>
      <w:rFonts w:ascii="Courier New" w:hAnsi="Arial" w:cs="Courier New"/>
      <w:color w:val="000000"/>
      <w:sz w:val="24"/>
      <w:szCs w:val="20"/>
    </w:rPr>
  </w:style>
  <w:style w:type="character" w:customStyle="1" w:styleId="272">
    <w:name w:val="引用 Char2"/>
    <w:basedOn w:val="49"/>
    <w:qFormat/>
    <w:uiPriority w:val="29"/>
    <w:rPr>
      <w:i/>
      <w:iCs/>
      <w:color w:val="000000"/>
    </w:rPr>
  </w:style>
  <w:style w:type="paragraph" w:customStyle="1" w:styleId="273">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4">
    <w:name w:val="默认段落字体 Para Char Char Char Char Char Char Char Char Char1 Char Char Char Char Char Char Char"/>
    <w:basedOn w:val="14"/>
    <w:qFormat/>
    <w:uiPriority w:val="0"/>
    <w:rPr>
      <w:rFonts w:ascii="Tahoma" w:hAnsi="Tahoma" w:eastAsia="宋体" w:cs="Times New Roman"/>
      <w:kern w:val="0"/>
      <w:sz w:val="24"/>
    </w:rPr>
  </w:style>
  <w:style w:type="paragraph" w:customStyle="1" w:styleId="275">
    <w:name w:val="flNote"/>
    <w:basedOn w:val="1"/>
    <w:qFormat/>
    <w:uiPriority w:val="0"/>
    <w:pPr>
      <w:adjustRightInd w:val="0"/>
      <w:spacing w:before="320" w:after="160" w:line="360" w:lineRule="atLeast"/>
      <w:jc w:val="center"/>
    </w:pPr>
    <w:rPr>
      <w:rFonts w:ascii="Arial" w:hAnsi="Times New Roman" w:eastAsia="黑体"/>
      <w:kern w:val="0"/>
      <w:sz w:val="30"/>
      <w:szCs w:val="20"/>
    </w:rPr>
  </w:style>
  <w:style w:type="paragraph" w:customStyle="1" w:styleId="276">
    <w:name w:val="空半行"/>
    <w:basedOn w:val="1"/>
    <w:qFormat/>
    <w:uiPriority w:val="0"/>
    <w:pPr>
      <w:adjustRightInd w:val="0"/>
      <w:spacing w:line="120" w:lineRule="exact"/>
    </w:pPr>
    <w:rPr>
      <w:rFonts w:ascii="Times New Roman" w:hAnsi="Times New Roman" w:eastAsia="仿宋_GB2312"/>
      <w:color w:val="FFFFFF"/>
      <w:kern w:val="0"/>
      <w:sz w:val="30"/>
      <w:szCs w:val="20"/>
    </w:rPr>
  </w:style>
  <w:style w:type="paragraph" w:customStyle="1" w:styleId="277">
    <w:name w:val="Char Char Char Char Char Char Char Char Char Char"/>
    <w:basedOn w:val="1"/>
    <w:qFormat/>
    <w:uiPriority w:val="0"/>
    <w:rPr>
      <w:rFonts w:ascii="Tahoma" w:hAnsi="Tahoma" w:eastAsia="宋体"/>
      <w:sz w:val="24"/>
      <w:szCs w:val="20"/>
    </w:rPr>
  </w:style>
  <w:style w:type="paragraph" w:customStyle="1" w:styleId="278">
    <w:name w:val="xl29"/>
    <w:basedOn w:val="1"/>
    <w:qFormat/>
    <w:uiPriority w:val="0"/>
    <w:pPr>
      <w:widowControl/>
      <w:pBdr>
        <w:bottom w:val="single" w:color="auto" w:sz="4" w:space="0"/>
        <w:right w:val="single" w:color="auto" w:sz="4" w:space="0"/>
      </w:pBdr>
      <w:spacing w:before="100" w:beforeAutospacing="1" w:after="100" w:afterAutospacing="1"/>
      <w:textAlignment w:val="top"/>
    </w:pPr>
    <w:rPr>
      <w:rFonts w:ascii="Arial Unicode MS" w:hAnsi="Arial Unicode MS" w:eastAsia="Arial Unicode MS"/>
      <w:kern w:val="0"/>
      <w:sz w:val="24"/>
      <w:szCs w:val="24"/>
    </w:rPr>
  </w:style>
  <w:style w:type="paragraph" w:customStyle="1" w:styleId="279">
    <w:name w:val="三级"/>
    <w:basedOn w:val="1"/>
    <w:link w:val="280"/>
    <w:qFormat/>
    <w:uiPriority w:val="0"/>
    <w:pPr>
      <w:tabs>
        <w:tab w:val="left" w:pos="851"/>
      </w:tabs>
      <w:spacing w:after="80" w:line="360" w:lineRule="auto"/>
      <w:ind w:left="851" w:hanging="851"/>
      <w:outlineLvl w:val="3"/>
    </w:pPr>
    <w:rPr>
      <w:rFonts w:ascii="宋体" w:hAnsi="宋体" w:eastAsia="宋体"/>
      <w:b/>
      <w:sz w:val="24"/>
      <w:szCs w:val="24"/>
    </w:rPr>
  </w:style>
  <w:style w:type="character" w:customStyle="1" w:styleId="280">
    <w:name w:val="三级 Char"/>
    <w:basedOn w:val="49"/>
    <w:link w:val="279"/>
    <w:qFormat/>
    <w:uiPriority w:val="0"/>
    <w:rPr>
      <w:rFonts w:ascii="宋体" w:hAnsi="宋体" w:eastAsia="宋体" w:cs="Times New Roman"/>
      <w:b/>
      <w:sz w:val="24"/>
      <w:szCs w:val="24"/>
    </w:rPr>
  </w:style>
  <w:style w:type="paragraph" w:customStyle="1" w:styleId="281">
    <w:name w:val="列出段落2"/>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76</Pages>
  <Words>3303</Words>
  <Characters>3587</Characters>
  <Lines>322</Lines>
  <Paragraphs>90</Paragraphs>
  <TotalTime>7</TotalTime>
  <ScaleCrop>false</ScaleCrop>
  <LinksUpToDate>false</LinksUpToDate>
  <CharactersWithSpaces>3618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2021-05-28T02:29:00Z</dcterms:created>
  <dc:creator>张永利</dc:creator>
  <cp:lastModifiedBy>史美伟</cp:lastModifiedBy>
  <dcterms:modified xsi:type="dcterms:W3CDTF">2026-01-21T06:16:11Z</dcterms:modified>
  <cp:revision>1278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10E638EF16474F6FAF770AE551ADAFD1_13</vt:lpwstr>
  </property>
  <property fmtid="{D5CDD505-2E9C-101B-9397-08002B2CF9AE}" pid="4" name="KSOTemplateDocerSaveRecord">
    <vt:lpwstr>eyJoZGlkIjoiODZkNjExNWZlMWRjZGM0MmRiNTUzN2UxMjdjNWUyZWYiLCJ1c2VySWQiOiI1MTUxNzA1ODQifQ==</vt:lpwstr>
  </property>
</Properties>
</file>